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E46A" w14:textId="77777777" w:rsidR="00DB195A" w:rsidRPr="00BF7D1A" w:rsidRDefault="00DB195A" w:rsidP="00DB195A">
      <w:pPr>
        <w:pStyle w:val="Body"/>
        <w:spacing w:line="276" w:lineRule="auto"/>
        <w:ind w:firstLine="360"/>
        <w:rPr>
          <w:rFonts w:ascii="Calibri" w:hAnsi="Calibri" w:cs="Calibri"/>
          <w:color w:val="7F7F7F" w:themeColor="background1" w:themeShade="7F"/>
          <w:sz w:val="28"/>
          <w:szCs w:val="28"/>
        </w:rPr>
      </w:pPr>
      <w:bookmarkStart w:id="0" w:name="_GoBack"/>
      <w:bookmarkEnd w:id="0"/>
    </w:p>
    <w:p w14:paraId="111F8679" w14:textId="64FFC28D" w:rsidR="00924755" w:rsidRPr="00BF7D1A" w:rsidRDefault="1FFE7E48" w:rsidP="1FFE7E48">
      <w:pPr>
        <w:pStyle w:val="Body"/>
        <w:spacing w:line="276" w:lineRule="auto"/>
        <w:ind w:firstLine="360"/>
        <w:jc w:val="center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>8</w:t>
      </w: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  <w:vertAlign w:val="superscript"/>
        </w:rPr>
        <w:t>th</w:t>
      </w:r>
      <w:r w:rsidRPr="00BF7D1A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 xml:space="preserve"> Annual EASST Summit</w:t>
      </w:r>
      <w:r w:rsidR="00F416B1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 xml:space="preserve">: </w:t>
      </w:r>
      <w:r w:rsidR="0066182F"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  <w:t>Agenda</w:t>
      </w:r>
    </w:p>
    <w:p w14:paraId="43B4709C" w14:textId="2E19B361" w:rsidR="00924755" w:rsidRPr="00D70918" w:rsidRDefault="00EE79AA" w:rsidP="00EE79AA">
      <w:pPr>
        <w:pStyle w:val="Body"/>
        <w:spacing w:line="276" w:lineRule="auto"/>
        <w:ind w:firstLine="360"/>
        <w:jc w:val="center"/>
        <w:rPr>
          <w:rFonts w:ascii="Calibri" w:hAnsi="Calibri" w:cs="Calibri"/>
          <w:color w:val="5F5F5F" w:themeColor="background2" w:themeShade="80"/>
          <w:sz w:val="24"/>
          <w:szCs w:val="24"/>
        </w:rPr>
      </w:pPr>
      <w:r w:rsidRPr="00D70918">
        <w:rPr>
          <w:rFonts w:ascii="Calibri" w:hAnsi="Calibri" w:cs="Calibri"/>
          <w:color w:val="5F5F5F" w:themeColor="background2" w:themeShade="80"/>
          <w:sz w:val="24"/>
          <w:szCs w:val="24"/>
        </w:rPr>
        <w:t>Sarova Panafric</w:t>
      </w:r>
      <w:r>
        <w:rPr>
          <w:rFonts w:ascii="Calibri" w:hAnsi="Calibri" w:cs="Calibri"/>
          <w:color w:val="5F5F5F" w:themeColor="background2" w:themeShade="80"/>
          <w:sz w:val="24"/>
          <w:szCs w:val="24"/>
        </w:rPr>
        <w:t xml:space="preserve"> (</w:t>
      </w:r>
      <w:r w:rsidR="00924755" w:rsidRPr="00D70918">
        <w:rPr>
          <w:rFonts w:ascii="Calibri" w:hAnsi="Calibri" w:cs="Calibri"/>
          <w:color w:val="5F5F5F" w:themeColor="background2" w:themeShade="80"/>
          <w:sz w:val="24"/>
          <w:szCs w:val="24"/>
        </w:rPr>
        <w:t>Nairobi, Kenya</w:t>
      </w:r>
      <w:r>
        <w:rPr>
          <w:rFonts w:ascii="Calibri" w:hAnsi="Calibri" w:cs="Calibri"/>
          <w:color w:val="5F5F5F" w:themeColor="background2" w:themeShade="80"/>
          <w:sz w:val="24"/>
          <w:szCs w:val="24"/>
        </w:rPr>
        <w:t>)</w:t>
      </w:r>
    </w:p>
    <w:p w14:paraId="16F9A319" w14:textId="4C87FE99" w:rsidR="00924755" w:rsidRDefault="6117DDB2" w:rsidP="6117DDB2">
      <w:pPr>
        <w:pStyle w:val="Body"/>
        <w:spacing w:line="276" w:lineRule="auto"/>
        <w:ind w:firstLine="360"/>
        <w:jc w:val="center"/>
        <w:rPr>
          <w:rFonts w:ascii="Calibri" w:hAnsi="Calibri" w:cs="Calibri"/>
          <w:color w:val="5F5F5F" w:themeColor="background2" w:themeShade="7F"/>
          <w:sz w:val="24"/>
          <w:szCs w:val="24"/>
        </w:rPr>
      </w:pPr>
      <w:r w:rsidRPr="6117DDB2">
        <w:rPr>
          <w:rFonts w:ascii="Calibri" w:hAnsi="Calibri" w:cs="Calibri"/>
          <w:color w:val="5F5F5F" w:themeColor="background2" w:themeShade="7F"/>
          <w:sz w:val="24"/>
          <w:szCs w:val="24"/>
        </w:rPr>
        <w:t xml:space="preserve">July </w:t>
      </w:r>
      <w:r w:rsidR="007B63C5">
        <w:rPr>
          <w:rFonts w:ascii="Calibri" w:hAnsi="Calibri" w:cs="Calibri"/>
          <w:color w:val="5F5F5F" w:themeColor="background2" w:themeShade="7F"/>
          <w:sz w:val="24"/>
          <w:szCs w:val="24"/>
        </w:rPr>
        <w:t>2</w:t>
      </w:r>
      <w:r w:rsidRPr="6117DDB2">
        <w:rPr>
          <w:rFonts w:ascii="Calibri" w:hAnsi="Calibri" w:cs="Calibri"/>
          <w:color w:val="5F5F5F" w:themeColor="background2" w:themeShade="7F"/>
          <w:sz w:val="24"/>
          <w:szCs w:val="24"/>
        </w:rPr>
        <w:t>2-23, 2019</w:t>
      </w:r>
    </w:p>
    <w:p w14:paraId="0F1A076B" w14:textId="77777777" w:rsidR="00D70918" w:rsidRPr="00D70918" w:rsidRDefault="00D70918" w:rsidP="00D70918">
      <w:pPr>
        <w:pStyle w:val="Body"/>
        <w:spacing w:line="276" w:lineRule="auto"/>
        <w:rPr>
          <w:rFonts w:ascii="Calibri" w:hAnsi="Calibri" w:cs="Calibri"/>
          <w:color w:val="5F5F5F" w:themeColor="background2" w:themeShade="80"/>
          <w:sz w:val="24"/>
          <w:szCs w:val="24"/>
        </w:rPr>
      </w:pPr>
    </w:p>
    <w:p w14:paraId="744DEEF5" w14:textId="420FF1CA" w:rsidR="000656CE" w:rsidRPr="00BF7D1A" w:rsidRDefault="006425A2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00BF7D1A">
        <w:rPr>
          <w:rFonts w:ascii="Calibri" w:hAnsi="Calibri" w:cs="Calibri"/>
          <w:color w:val="5F5F5F" w:themeColor="background2" w:themeShade="80"/>
        </w:rPr>
        <w:t xml:space="preserve">The </w:t>
      </w:r>
      <w:hyperlink r:id="rId8" w:history="1">
        <w:r w:rsidRPr="001127E0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East Africa Social Science Translation</w:t>
        </w:r>
      </w:hyperlink>
      <w:r w:rsidRPr="00BF7D1A">
        <w:rPr>
          <w:rFonts w:ascii="Calibri" w:hAnsi="Calibri" w:cs="Calibri"/>
          <w:color w:val="5F5F5F" w:themeColor="background2" w:themeShade="80"/>
        </w:rPr>
        <w:t xml:space="preserve"> (EASST) Collaborative, managed by the </w:t>
      </w:r>
      <w:hyperlink r:id="rId9" w:history="1">
        <w:r w:rsidRPr="00BF7D1A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Center for Effective Global Action</w:t>
        </w:r>
      </w:hyperlink>
      <w:r w:rsidRPr="00BF7D1A">
        <w:rPr>
          <w:rFonts w:ascii="Calibri" w:hAnsi="Calibri" w:cs="Calibri"/>
          <w:color w:val="5F5F5F" w:themeColor="background2" w:themeShade="80"/>
        </w:rPr>
        <w:t xml:space="preserve"> (CEGA) at UC Berkeley</w:t>
      </w:r>
      <w:r w:rsidR="00D70918">
        <w:rPr>
          <w:rFonts w:ascii="Calibri" w:hAnsi="Calibri" w:cs="Calibri"/>
          <w:color w:val="5F5F5F" w:themeColor="background2" w:themeShade="80"/>
        </w:rPr>
        <w:t>,</w:t>
      </w:r>
      <w:r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5C31BB">
        <w:rPr>
          <w:rFonts w:ascii="Calibri" w:hAnsi="Calibri" w:cs="Calibri"/>
          <w:color w:val="5F5F5F" w:themeColor="background2" w:themeShade="80"/>
        </w:rPr>
        <w:t xml:space="preserve">is holding </w:t>
      </w:r>
      <w:r w:rsidR="00D70918">
        <w:rPr>
          <w:rFonts w:ascii="Calibri" w:hAnsi="Calibri" w:cs="Calibri"/>
          <w:color w:val="5F5F5F" w:themeColor="background2" w:themeShade="80"/>
        </w:rPr>
        <w:t>its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4339E9" w:rsidRPr="00BF7D1A">
        <w:rPr>
          <w:rFonts w:ascii="Calibri" w:hAnsi="Calibri" w:cs="Calibri"/>
          <w:color w:val="5F5F5F" w:themeColor="background2" w:themeShade="80"/>
        </w:rPr>
        <w:t>8</w:t>
      </w:r>
      <w:r w:rsidR="004339E9" w:rsidRPr="00BF7D1A">
        <w:rPr>
          <w:rFonts w:ascii="Calibri" w:hAnsi="Calibri" w:cs="Calibri"/>
          <w:color w:val="5F5F5F" w:themeColor="background2" w:themeShade="80"/>
          <w:vertAlign w:val="superscript"/>
        </w:rPr>
        <w:t>th</w:t>
      </w:r>
      <w:r w:rsidR="004339E9" w:rsidRPr="00BF7D1A">
        <w:rPr>
          <w:rFonts w:ascii="Calibri" w:hAnsi="Calibri" w:cs="Calibri"/>
          <w:color w:val="5F5F5F" w:themeColor="background2" w:themeShade="80"/>
        </w:rPr>
        <w:t xml:space="preserve"> Annual EASST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4339E9" w:rsidRPr="00BF7D1A">
        <w:rPr>
          <w:rFonts w:ascii="Calibri" w:hAnsi="Calibri" w:cs="Calibri"/>
          <w:color w:val="5F5F5F" w:themeColor="background2" w:themeShade="80"/>
        </w:rPr>
        <w:t>Summit in Nairobi, Kenya</w:t>
      </w:r>
      <w:r w:rsidR="000A1472">
        <w:rPr>
          <w:rFonts w:ascii="Calibri" w:hAnsi="Calibri" w:cs="Calibri"/>
          <w:color w:val="5F5F5F" w:themeColor="background2" w:themeShade="80"/>
        </w:rPr>
        <w:t xml:space="preserve"> on July 22-23, 2019</w:t>
      </w:r>
      <w:r w:rsidR="004339E9" w:rsidRPr="00BF7D1A">
        <w:rPr>
          <w:rFonts w:ascii="Calibri" w:hAnsi="Calibri" w:cs="Calibri"/>
          <w:color w:val="5F5F5F" w:themeColor="background2" w:themeShade="80"/>
        </w:rPr>
        <w:t xml:space="preserve">. </w:t>
      </w:r>
      <w:r w:rsidR="000A1472">
        <w:rPr>
          <w:rFonts w:ascii="Calibri" w:hAnsi="Calibri" w:cs="Calibri"/>
          <w:color w:val="5F5F5F" w:themeColor="background2" w:themeShade="80"/>
        </w:rPr>
        <w:t>Over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the past eight years, EASST has </w:t>
      </w:r>
      <w:r w:rsidR="00D70918">
        <w:rPr>
          <w:rFonts w:ascii="Calibri" w:hAnsi="Calibri" w:cs="Calibri"/>
          <w:color w:val="5F5F5F" w:themeColor="background2" w:themeShade="80"/>
        </w:rPr>
        <w:t xml:space="preserve">built a robust network of </w:t>
      </w:r>
      <w:r w:rsidR="00F90231">
        <w:rPr>
          <w:rFonts w:ascii="Calibri" w:hAnsi="Calibri" w:cs="Calibri"/>
          <w:color w:val="5F5F5F" w:themeColor="background2" w:themeShade="80"/>
        </w:rPr>
        <w:t>over</w:t>
      </w:r>
      <w:r w:rsidR="00D70918">
        <w:rPr>
          <w:rFonts w:ascii="Calibri" w:hAnsi="Calibri" w:cs="Calibri"/>
          <w:color w:val="5F5F5F" w:themeColor="background2" w:themeShade="80"/>
        </w:rPr>
        <w:t xml:space="preserve"> 30 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talented East African scholars </w:t>
      </w:r>
      <w:r w:rsidR="000A1472">
        <w:rPr>
          <w:rFonts w:ascii="Calibri" w:hAnsi="Calibri" w:cs="Calibri"/>
          <w:color w:val="5F5F5F" w:themeColor="background2" w:themeShade="80"/>
        </w:rPr>
        <w:t>conducting rigorous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impact evaluations of social programs in the region. </w:t>
      </w:r>
      <w:r w:rsidR="00C73C74" w:rsidRPr="00BF7D1A">
        <w:rPr>
          <w:rFonts w:ascii="Calibri" w:hAnsi="Calibri" w:cs="Calibri"/>
          <w:color w:val="5F5F5F" w:themeColor="background2" w:themeShade="80"/>
        </w:rPr>
        <w:t xml:space="preserve">The 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summit provides a </w:t>
      </w:r>
      <w:r w:rsidR="000A1472">
        <w:rPr>
          <w:rFonts w:ascii="Calibri" w:hAnsi="Calibri" w:cs="Calibri"/>
          <w:color w:val="5F5F5F" w:themeColor="background2" w:themeShade="80"/>
        </w:rPr>
        <w:t>forum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0A1472">
        <w:rPr>
          <w:rFonts w:ascii="Calibri" w:hAnsi="Calibri" w:cs="Calibri"/>
          <w:color w:val="5F5F5F" w:themeColor="background2" w:themeShade="80"/>
        </w:rPr>
        <w:t>for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showcas</w:t>
      </w:r>
      <w:r w:rsidR="000A1472">
        <w:rPr>
          <w:rFonts w:ascii="Calibri" w:hAnsi="Calibri" w:cs="Calibri"/>
          <w:color w:val="5F5F5F" w:themeColor="background2" w:themeShade="80"/>
        </w:rPr>
        <w:t>ing</w:t>
      </w:r>
      <w:r w:rsidR="009D3521" w:rsidRPr="00BF7D1A">
        <w:rPr>
          <w:rFonts w:ascii="Calibri" w:hAnsi="Calibri" w:cs="Calibri"/>
          <w:color w:val="5F5F5F" w:themeColor="background2" w:themeShade="80"/>
        </w:rPr>
        <w:t xml:space="preserve"> this locally-generated research alongside the research of U.S.</w:t>
      </w:r>
      <w:r w:rsidR="000A1472">
        <w:rPr>
          <w:rFonts w:ascii="Calibri" w:hAnsi="Calibri" w:cs="Calibri"/>
          <w:color w:val="5F5F5F" w:themeColor="background2" w:themeShade="80"/>
        </w:rPr>
        <w:t>-</w:t>
      </w:r>
      <w:r w:rsidR="009D3521" w:rsidRPr="00BF7D1A">
        <w:rPr>
          <w:rFonts w:ascii="Calibri" w:hAnsi="Calibri" w:cs="Calibri"/>
          <w:color w:val="5F5F5F" w:themeColor="background2" w:themeShade="80"/>
        </w:rPr>
        <w:t>based academics in East Africa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, </w:t>
      </w:r>
      <w:r w:rsidR="000A1472">
        <w:rPr>
          <w:rFonts w:ascii="Calibri" w:hAnsi="Calibri" w:cs="Calibri"/>
          <w:color w:val="5F5F5F" w:themeColor="background2" w:themeShade="80"/>
        </w:rPr>
        <w:t>while facilitating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a dialogue between policy makers, practitioners</w:t>
      </w:r>
      <w:r w:rsidR="000A1472">
        <w:rPr>
          <w:rFonts w:ascii="Calibri" w:hAnsi="Calibri" w:cs="Calibri"/>
          <w:color w:val="5F5F5F" w:themeColor="background2" w:themeShade="80"/>
        </w:rPr>
        <w:t>, and researchers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0A1472">
        <w:rPr>
          <w:rFonts w:ascii="Calibri" w:hAnsi="Calibri" w:cs="Calibri"/>
          <w:color w:val="5F5F5F" w:themeColor="background2" w:themeShade="80"/>
        </w:rPr>
        <w:t>on opportunities for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evidence-informed policy</w:t>
      </w:r>
      <w:r w:rsidR="000A1472">
        <w:rPr>
          <w:rFonts w:ascii="Calibri" w:hAnsi="Calibri" w:cs="Calibri"/>
          <w:color w:val="5F5F5F" w:themeColor="background2" w:themeShade="80"/>
        </w:rPr>
        <w:t>making</w:t>
      </w:r>
      <w:r w:rsidR="000656CE" w:rsidRPr="00BF7D1A">
        <w:rPr>
          <w:rFonts w:ascii="Calibri" w:hAnsi="Calibri" w:cs="Calibri"/>
          <w:color w:val="5F5F5F" w:themeColor="background2" w:themeShade="80"/>
        </w:rPr>
        <w:t xml:space="preserve"> in East Africa. </w:t>
      </w:r>
    </w:p>
    <w:p w14:paraId="46349E75" w14:textId="77777777" w:rsidR="000656CE" w:rsidRPr="00BF7D1A" w:rsidRDefault="000656CE" w:rsidP="1FFE7E48">
      <w:pPr>
        <w:pStyle w:val="Body"/>
        <w:spacing w:line="276" w:lineRule="auto"/>
        <w:ind w:firstLine="360"/>
        <w:rPr>
          <w:rFonts w:ascii="Calibri" w:hAnsi="Calibri" w:cs="Calibri"/>
          <w:color w:val="5F5F5F" w:themeColor="background2" w:themeShade="7F"/>
        </w:rPr>
      </w:pPr>
    </w:p>
    <w:p w14:paraId="699971BA" w14:textId="5D32D913" w:rsidR="000656CE" w:rsidRPr="00BF7D1A" w:rsidRDefault="2227891B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2227891B">
        <w:rPr>
          <w:rFonts w:ascii="Calibri" w:hAnsi="Calibri" w:cs="Calibri"/>
          <w:color w:val="5F5F5F" w:themeColor="background2" w:themeShade="7F"/>
        </w:rPr>
        <w:t xml:space="preserve">This year, the summit will highlight work related to </w:t>
      </w:r>
      <w:r w:rsidR="00520B9A">
        <w:rPr>
          <w:rFonts w:ascii="Calibri" w:hAnsi="Calibri" w:cs="Calibri"/>
          <w:color w:val="5F5F5F" w:themeColor="background2" w:themeShade="7F"/>
        </w:rPr>
        <w:t>economic development</w:t>
      </w:r>
      <w:r w:rsidRPr="2227891B">
        <w:rPr>
          <w:rFonts w:ascii="Calibri" w:hAnsi="Calibri" w:cs="Calibri"/>
          <w:color w:val="5F5F5F" w:themeColor="background2" w:themeShade="7F"/>
        </w:rPr>
        <w:t xml:space="preserve"> across East Africa, inspired by President Kenyatta’s “</w:t>
      </w:r>
      <w:hyperlink r:id="rId10">
        <w:r w:rsidRPr="2227891B">
          <w:rPr>
            <w:rStyle w:val="Hyperlink"/>
            <w:rFonts w:ascii="Calibri" w:hAnsi="Calibri" w:cs="Calibri"/>
          </w:rPr>
          <w:t>Big Four</w:t>
        </w:r>
      </w:hyperlink>
      <w:r w:rsidRPr="2227891B">
        <w:rPr>
          <w:rFonts w:ascii="Calibri" w:hAnsi="Calibri" w:cs="Calibri"/>
          <w:color w:val="5F5F5F" w:themeColor="background2" w:themeShade="7F"/>
        </w:rPr>
        <w:t xml:space="preserve">” policy agenda and more broadly the Sustainable Development Goals for 2030.  Day 1 of the summit (July 22) will feature a keynote address from UN Resident Coordinator to Kenya, </w:t>
      </w:r>
      <w:hyperlink r:id="rId11">
        <w:r w:rsidRPr="2227891B">
          <w:rPr>
            <w:rStyle w:val="Hyperlink"/>
            <w:rFonts w:ascii="Calibri" w:hAnsi="Calibri" w:cs="Calibri"/>
          </w:rPr>
          <w:t>Siddharth Chatterjee</w:t>
        </w:r>
      </w:hyperlink>
      <w:r w:rsidRPr="2227891B">
        <w:rPr>
          <w:rFonts w:ascii="Calibri" w:hAnsi="Calibri" w:cs="Calibri"/>
          <w:color w:val="5F5F5F" w:themeColor="background2" w:themeShade="7F"/>
        </w:rPr>
        <w:t xml:space="preserve">, who has served with the UN for over 20 years. The keynote will be followed by </w:t>
      </w:r>
      <w:r w:rsidR="002B40A7">
        <w:rPr>
          <w:rFonts w:ascii="Calibri" w:hAnsi="Calibri" w:cs="Calibri"/>
          <w:color w:val="5F5F5F" w:themeColor="background2" w:themeShade="7F"/>
        </w:rPr>
        <w:t xml:space="preserve">a talk from the government’s perspective on integrating evidence into policymaking by Advisor to the Cabinet Secretary, Ministry of ICT, Michael Onyango. This will be followed by </w:t>
      </w:r>
      <w:r w:rsidRPr="2227891B">
        <w:rPr>
          <w:rFonts w:ascii="Calibri" w:hAnsi="Calibri" w:cs="Calibri"/>
          <w:color w:val="5F5F5F" w:themeColor="background2" w:themeShade="7F"/>
        </w:rPr>
        <w:t>presentations on policy relevant research, a roundtable discussion on the data systems and indicators governments in East Africa need to measure Universal Health Coverage</w:t>
      </w:r>
      <w:r w:rsidR="006B6333">
        <w:rPr>
          <w:rFonts w:ascii="Calibri" w:hAnsi="Calibri" w:cs="Calibri"/>
          <w:color w:val="5F5F5F" w:themeColor="background2" w:themeShade="7F"/>
        </w:rPr>
        <w:t xml:space="preserve"> (UHC)</w:t>
      </w:r>
      <w:bookmarkStart w:id="1" w:name="_Hlk3241029"/>
      <w:bookmarkEnd w:id="1"/>
      <w:r w:rsidR="008D4DB9">
        <w:rPr>
          <w:rFonts w:ascii="Calibri" w:hAnsi="Calibri" w:cs="Calibri"/>
          <w:color w:val="5F5F5F" w:themeColor="background2" w:themeShade="7F"/>
        </w:rPr>
        <w:t>, and a session on n</w:t>
      </w:r>
      <w:r w:rsidR="008D4DB9" w:rsidRPr="11CC5E48">
        <w:rPr>
          <w:rFonts w:ascii="Calibri" w:hAnsi="Calibri" w:cs="Calibri"/>
          <w:color w:val="5F5F5F" w:themeColor="background2" w:themeShade="7F"/>
        </w:rPr>
        <w:t xml:space="preserve">ew directions for the EASST fellow alumni-led organization, the </w:t>
      </w:r>
      <w:hyperlink r:id="rId12">
        <w:r w:rsidR="008D4DB9" w:rsidRPr="11CC5E48">
          <w:rPr>
            <w:rStyle w:val="Hyperlink"/>
            <w:rFonts w:ascii="Calibri" w:hAnsi="Calibri" w:cs="Calibri"/>
          </w:rPr>
          <w:t>Network of Impact Evaluation Researchers in Africa</w:t>
        </w:r>
      </w:hyperlink>
      <w:r w:rsidR="008D4DB9">
        <w:rPr>
          <w:rFonts w:ascii="Calibri" w:hAnsi="Calibri" w:cs="Calibri"/>
          <w:color w:val="5F5F5F" w:themeColor="background2" w:themeShade="7F"/>
        </w:rPr>
        <w:t>.</w:t>
      </w:r>
      <w:r w:rsidR="005C31BB">
        <w:rPr>
          <w:rFonts w:ascii="Calibri" w:hAnsi="Calibri" w:cs="Calibri"/>
          <w:color w:val="5F5F5F" w:themeColor="background2" w:themeShade="7F"/>
        </w:rPr>
        <w:t xml:space="preserve"> A cocktail reception will follow, featuring behavioral games led by </w:t>
      </w:r>
      <w:hyperlink r:id="rId13" w:history="1">
        <w:r w:rsidR="005C31BB" w:rsidRPr="0067587F">
          <w:rPr>
            <w:rStyle w:val="Hyperlink"/>
            <w:rFonts w:ascii="Calibri" w:hAnsi="Calibri" w:cs="Calibri"/>
          </w:rPr>
          <w:t>the Busara Center for Behavioral Economics</w:t>
        </w:r>
      </w:hyperlink>
      <w:r w:rsidR="005C31BB">
        <w:rPr>
          <w:rFonts w:ascii="Calibri" w:hAnsi="Calibri" w:cs="Calibri"/>
          <w:color w:val="5F5F5F" w:themeColor="background2" w:themeShade="80"/>
        </w:rPr>
        <w:t>.</w:t>
      </w:r>
    </w:p>
    <w:p w14:paraId="4F04362A" w14:textId="47F34128" w:rsidR="000656CE" w:rsidRPr="00BF7D1A" w:rsidRDefault="000656CE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6EDCAA9E" w14:textId="366D0586" w:rsidR="6117DDB2" w:rsidRDefault="11CC5E48" w:rsidP="11CC5E4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11CC5E48">
        <w:rPr>
          <w:rFonts w:ascii="Calibri" w:hAnsi="Calibri" w:cs="Calibri"/>
          <w:color w:val="5F5F5F" w:themeColor="background2" w:themeShade="7F"/>
        </w:rPr>
        <w:t xml:space="preserve">Day 2 (July 23) will feature early stage research on Education and </w:t>
      </w:r>
      <w:r w:rsidR="005C4A8E">
        <w:rPr>
          <w:rFonts w:ascii="Calibri" w:hAnsi="Calibri" w:cs="Calibri"/>
          <w:color w:val="5F5F5F" w:themeColor="background2" w:themeShade="7F"/>
        </w:rPr>
        <w:t>Employment, Health, and Economic Development + Political Economy. It will also feature</w:t>
      </w:r>
      <w:r w:rsidRPr="11CC5E48">
        <w:rPr>
          <w:rFonts w:ascii="Calibri" w:hAnsi="Calibri" w:cs="Calibri"/>
          <w:color w:val="5F5F5F" w:themeColor="background2" w:themeShade="7F"/>
        </w:rPr>
        <w:t xml:space="preserve"> </w:t>
      </w:r>
      <w:r w:rsidR="008D4DB9">
        <w:rPr>
          <w:rFonts w:ascii="Calibri" w:hAnsi="Calibri" w:cs="Calibri"/>
          <w:color w:val="5F5F5F" w:themeColor="background2" w:themeShade="7F"/>
        </w:rPr>
        <w:t>two panels</w:t>
      </w:r>
      <w:r w:rsidRPr="11CC5E48">
        <w:rPr>
          <w:rFonts w:ascii="Calibri" w:hAnsi="Calibri" w:cs="Calibri"/>
          <w:color w:val="5F5F5F" w:themeColor="background2" w:themeShade="7F"/>
        </w:rPr>
        <w:t xml:space="preserve">: </w:t>
      </w:r>
      <w:r w:rsidR="008D4DB9">
        <w:rPr>
          <w:rFonts w:ascii="Calibri" w:hAnsi="Calibri" w:cs="Calibri"/>
          <w:color w:val="5F5F5F" w:themeColor="background2" w:themeShade="7F"/>
        </w:rPr>
        <w:t>1</w:t>
      </w:r>
      <w:r w:rsidRPr="11CC5E48">
        <w:rPr>
          <w:rFonts w:ascii="Calibri" w:hAnsi="Calibri" w:cs="Calibri"/>
          <w:color w:val="5F5F5F" w:themeColor="background2" w:themeShade="7F"/>
        </w:rPr>
        <w:t xml:space="preserve">) A panel of practitioners sharing insights on research capacity building in East Africa, </w:t>
      </w:r>
      <w:r w:rsidR="008D4DB9">
        <w:rPr>
          <w:rFonts w:ascii="Calibri" w:hAnsi="Calibri" w:cs="Calibri"/>
          <w:color w:val="5F5F5F" w:themeColor="background2" w:themeShade="7F"/>
        </w:rPr>
        <w:t>2</w:t>
      </w:r>
      <w:r w:rsidRPr="11CC5E48">
        <w:rPr>
          <w:rFonts w:ascii="Calibri" w:hAnsi="Calibri" w:cs="Calibri"/>
          <w:color w:val="5F5F5F" w:themeColor="background2" w:themeShade="7F"/>
        </w:rPr>
        <w:t xml:space="preserve">) A moderated panel of donors sharing their perspective on the best ways to support African impact evaluation capacity. After the close of Day 2, there will be two optional sessions: 1) A research transparency training facilitated by the </w:t>
      </w:r>
      <w:hyperlink r:id="rId14" w:history="1">
        <w:r w:rsidRPr="00DE584F">
          <w:rPr>
            <w:rStyle w:val="Hyperlink"/>
            <w:rFonts w:ascii="Calibri" w:hAnsi="Calibri" w:cs="Calibri"/>
          </w:rPr>
          <w:t>Berkeley Initiative for Transparency in the Social Sciences</w:t>
        </w:r>
      </w:hyperlink>
      <w:r w:rsidRPr="11CC5E48">
        <w:rPr>
          <w:rFonts w:ascii="Calibri" w:hAnsi="Calibri" w:cs="Calibri"/>
          <w:color w:val="5F5F5F" w:themeColor="background2" w:themeShade="7F"/>
        </w:rPr>
        <w:t xml:space="preserve"> (open) and 2) A researcher-policymaker matchmaking workshop (invitation only) facilitated by </w:t>
      </w:r>
      <w:hyperlink r:id="rId15">
        <w:r w:rsidRPr="11CC5E48">
          <w:rPr>
            <w:rStyle w:val="Hyperlink"/>
            <w:rFonts w:ascii="Calibri" w:hAnsi="Calibri" w:cs="Calibri"/>
          </w:rPr>
          <w:t>Innovations for Poverty Action</w:t>
        </w:r>
      </w:hyperlink>
      <w:r w:rsidR="005C4A8E">
        <w:rPr>
          <w:rFonts w:ascii="Calibri" w:hAnsi="Calibri" w:cs="Calibri"/>
        </w:rPr>
        <w:t xml:space="preserve"> (IPA.)</w:t>
      </w:r>
    </w:p>
    <w:p w14:paraId="28A57648" w14:textId="77777777" w:rsidR="005C4A8E" w:rsidRDefault="005C4A8E" w:rsidP="119CA64F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097A31BA" w14:textId="2F5669B4" w:rsidR="00C73C74" w:rsidRDefault="00C73C74" w:rsidP="119CA64F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00BF7D1A">
        <w:rPr>
          <w:rFonts w:ascii="Calibri" w:hAnsi="Calibri" w:cs="Calibri"/>
          <w:color w:val="5F5F5F" w:themeColor="background2" w:themeShade="7F"/>
        </w:rPr>
        <w:t xml:space="preserve">EASST is excited to collaborate with local partner institutions </w:t>
      </w:r>
      <w:r w:rsidRPr="00BF7D1A">
        <w:rPr>
          <w:rFonts w:ascii="Calibri" w:hAnsi="Calibri" w:cs="Calibri"/>
          <w:color w:val="5F5F5F" w:themeColor="background2" w:themeShade="80"/>
        </w:rPr>
        <w:t>includi</w:t>
      </w:r>
      <w:r w:rsidR="00C60B59">
        <w:rPr>
          <w:rFonts w:ascii="Calibri" w:hAnsi="Calibri" w:cs="Calibri"/>
          <w:color w:val="5F5F5F" w:themeColor="background2" w:themeShade="80"/>
        </w:rPr>
        <w:t xml:space="preserve">ng </w:t>
      </w:r>
      <w:r w:rsidR="005C4A8E">
        <w:rPr>
          <w:rFonts w:ascii="Calibri" w:hAnsi="Calibri" w:cs="Calibri"/>
          <w:color w:val="5F5F5F" w:themeColor="background2" w:themeShade="80"/>
        </w:rPr>
        <w:t xml:space="preserve">IPA, </w:t>
      </w:r>
      <w:r w:rsidR="00182B56">
        <w:rPr>
          <w:rFonts w:ascii="Calibri" w:hAnsi="Calibri" w:cs="Calibri"/>
          <w:color w:val="5F5F5F" w:themeColor="background2" w:themeShade="80"/>
        </w:rPr>
        <w:t>s</w:t>
      </w:r>
      <w:r w:rsidR="006A4963">
        <w:rPr>
          <w:rFonts w:ascii="Calibri" w:hAnsi="Calibri" w:cs="Calibri"/>
          <w:color w:val="5F5F5F" w:themeColor="background2" w:themeShade="80"/>
        </w:rPr>
        <w:t xml:space="preserve">UN </w:t>
      </w:r>
      <w:r w:rsidR="002F2885">
        <w:rPr>
          <w:rFonts w:ascii="Calibri" w:hAnsi="Calibri" w:cs="Calibri"/>
          <w:color w:val="5F5F5F" w:themeColor="background2" w:themeShade="80"/>
        </w:rPr>
        <w:t xml:space="preserve">Kenya’s </w:t>
      </w:r>
      <w:r w:rsidR="00C60B59">
        <w:rPr>
          <w:rFonts w:ascii="Calibri" w:hAnsi="Calibri" w:cs="Calibri"/>
          <w:color w:val="5F5F5F" w:themeColor="background2" w:themeShade="80"/>
        </w:rPr>
        <w:t xml:space="preserve">SDG </w:t>
      </w:r>
      <w:r w:rsidR="008D12F6">
        <w:rPr>
          <w:rFonts w:ascii="Calibri" w:hAnsi="Calibri" w:cs="Calibri"/>
          <w:color w:val="5F5F5F" w:themeColor="background2" w:themeShade="80"/>
        </w:rPr>
        <w:t>Partnership Platform/Innovation Lab,</w:t>
      </w:r>
      <w:r w:rsidRPr="00BF7D1A">
        <w:rPr>
          <w:rFonts w:ascii="Calibri" w:hAnsi="Calibri" w:cs="Calibri"/>
          <w:color w:val="5F5F5F" w:themeColor="background2" w:themeShade="80"/>
        </w:rPr>
        <w:t xml:space="preserve"> </w:t>
      </w:r>
      <w:r w:rsidR="005C4A8E">
        <w:rPr>
          <w:rFonts w:ascii="Calibri" w:hAnsi="Calibri" w:cs="Calibri"/>
          <w:color w:val="5F5F5F" w:themeColor="background2" w:themeShade="80"/>
        </w:rPr>
        <w:t xml:space="preserve">the </w:t>
      </w:r>
      <w:hyperlink r:id="rId16" w:history="1">
        <w:r w:rsidR="005C4A8E">
          <w:rPr>
            <w:rStyle w:val="Hyperlink"/>
            <w:rFonts w:ascii="Calibri" w:hAnsi="Calibri" w:cs="Calibri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African Population Health Research Center</w:t>
        </w:r>
      </w:hyperlink>
      <w:r w:rsidR="001127E0">
        <w:rPr>
          <w:rFonts w:ascii="Calibri" w:hAnsi="Calibri" w:cs="Calibri"/>
          <w:color w:val="5F5F5F" w:themeColor="background2" w:themeShade="80"/>
        </w:rPr>
        <w:t xml:space="preserve"> (APHRC), the </w:t>
      </w:r>
      <w:hyperlink r:id="rId17" w:history="1">
        <w:r w:rsidR="001127E0" w:rsidRPr="001127E0">
          <w:rPr>
            <w:rStyle w:val="Hyperlink"/>
            <w:rFonts w:ascii="Calibri" w:hAnsi="Calibri" w:cs="Calibri"/>
          </w:rPr>
          <w:t>United States International University</w:t>
        </w:r>
      </w:hyperlink>
      <w:r w:rsidR="001127E0">
        <w:rPr>
          <w:rFonts w:ascii="Calibri" w:hAnsi="Calibri" w:cs="Calibri"/>
          <w:color w:val="5F5F5F" w:themeColor="background2" w:themeShade="80"/>
        </w:rPr>
        <w:t xml:space="preserve"> (</w:t>
      </w:r>
      <w:r w:rsidR="00971F14" w:rsidRPr="00BF7D1A">
        <w:rPr>
          <w:rFonts w:ascii="Calibri" w:hAnsi="Calibri" w:cs="Calibri"/>
          <w:color w:val="5F5F5F" w:themeColor="background2" w:themeShade="80"/>
        </w:rPr>
        <w:t xml:space="preserve">USIU), </w:t>
      </w:r>
      <w:r w:rsidR="0067587F">
        <w:rPr>
          <w:rFonts w:ascii="Calibri" w:hAnsi="Calibri" w:cs="Calibri"/>
          <w:color w:val="5F5F5F" w:themeColor="background2" w:themeShade="80"/>
        </w:rPr>
        <w:t xml:space="preserve">and </w:t>
      </w:r>
      <w:hyperlink r:id="rId18" w:history="1">
        <w:r w:rsidR="0067587F" w:rsidRPr="0067587F">
          <w:rPr>
            <w:rStyle w:val="Hyperlink"/>
            <w:rFonts w:ascii="Calibri" w:hAnsi="Calibri" w:cs="Calibri"/>
          </w:rPr>
          <w:t>the Busara Center for Behavioral Economics</w:t>
        </w:r>
      </w:hyperlink>
      <w:r w:rsidR="0067587F">
        <w:rPr>
          <w:rFonts w:ascii="Calibri" w:hAnsi="Calibri" w:cs="Calibri"/>
          <w:color w:val="5F5F5F" w:themeColor="background2" w:themeShade="80"/>
        </w:rPr>
        <w:t xml:space="preserve">. </w:t>
      </w:r>
    </w:p>
    <w:p w14:paraId="4E4EC635" w14:textId="3F16CBE6" w:rsidR="00AF3223" w:rsidRDefault="00AF3223" w:rsidP="2A2E6C7C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517F8243" w14:textId="15A98319" w:rsidR="0066182F" w:rsidRDefault="2227891B" w:rsidP="2227891B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  <w:r w:rsidRPr="2227891B">
        <w:rPr>
          <w:rFonts w:ascii="Calibri" w:hAnsi="Calibri" w:cs="Calibri"/>
          <w:color w:val="5F5F5F" w:themeColor="background2" w:themeShade="7F"/>
        </w:rPr>
        <w:t xml:space="preserve">EASST is generously funded by the National Institutes of Health (NIH) and the William and Flora Hewlett Foundation. </w:t>
      </w:r>
    </w:p>
    <w:p w14:paraId="74C6EE3A" w14:textId="0EAE2015" w:rsidR="0066182F" w:rsidRDefault="0066182F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49118697" w14:textId="3F25F7B2" w:rsidR="0066182F" w:rsidRDefault="00501C21" w:rsidP="00501C21">
      <w:pPr>
        <w:pStyle w:val="Body"/>
        <w:spacing w:line="276" w:lineRule="auto"/>
        <w:jc w:val="center"/>
        <w:rPr>
          <w:rFonts w:ascii="Calibri" w:hAnsi="Calibri" w:cs="Calibri"/>
          <w:color w:val="5F5F5F" w:themeColor="background2" w:themeShade="7F"/>
        </w:rPr>
      </w:pPr>
      <w:r>
        <w:rPr>
          <w:noProof/>
        </w:rPr>
        <w:drawing>
          <wp:inline distT="0" distB="0" distL="0" distR="0" wp14:anchorId="2E9C4ADF" wp14:editId="2845AF09">
            <wp:extent cx="901943" cy="793711"/>
            <wp:effectExtent l="0" t="0" r="0" b="0"/>
            <wp:docPr id="4167580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43" cy="7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81D2D" wp14:editId="6121BEAD">
            <wp:extent cx="2775913" cy="823273"/>
            <wp:effectExtent l="0" t="0" r="0" b="0"/>
            <wp:docPr id="1435352670" name="Picture 1" descr="../../../../../../Downloads/hewl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13" cy="82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D0665" w14:textId="510B15A0" w:rsidR="0066182F" w:rsidRDefault="0066182F" w:rsidP="0ED18F08">
      <w:pPr>
        <w:pStyle w:val="Body"/>
        <w:spacing w:line="276" w:lineRule="auto"/>
        <w:rPr>
          <w:rFonts w:ascii="Calibri" w:hAnsi="Calibri" w:cs="Calibri"/>
          <w:color w:val="5F5F5F" w:themeColor="background2" w:themeShade="7F"/>
        </w:rPr>
      </w:pPr>
    </w:p>
    <w:p w14:paraId="58B956E5" w14:textId="7287E140" w:rsidR="005E148F" w:rsidRDefault="005E148F" w:rsidP="00501C21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</w:p>
    <w:p w14:paraId="61D95427" w14:textId="77777777" w:rsidR="0067587F" w:rsidRDefault="0067587F" w:rsidP="00501C21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</w:p>
    <w:p w14:paraId="1485B13D" w14:textId="2A30908B" w:rsidR="00B80C06" w:rsidRPr="00BF7D1A" w:rsidRDefault="00B80C06" w:rsidP="00B80C06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  <w:sz w:val="28"/>
          <w:szCs w:val="28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2065"/>
        <w:gridCol w:w="7920"/>
      </w:tblGrid>
      <w:tr w:rsidR="0066182F" w:rsidRPr="00BF7D1A" w14:paraId="6017824D" w14:textId="77777777" w:rsidTr="00AD1B3B">
        <w:trPr>
          <w:trHeight w:val="413"/>
          <w:jc w:val="center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54A1D93B" w14:textId="2E3C813E" w:rsidR="0066182F" w:rsidRPr="0066182F" w:rsidRDefault="0761B89C" w:rsidP="0761B89C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</w:pPr>
            <w:r w:rsidRPr="0761B89C"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  <w:t xml:space="preserve">Monday, July 22: Health and Economic Development in East Africa </w:t>
            </w:r>
          </w:p>
        </w:tc>
      </w:tr>
      <w:tr w:rsidR="002C4417" w:rsidRPr="00BF7D1A" w14:paraId="79EEE0CC" w14:textId="77777777" w:rsidTr="003A382B">
        <w:trPr>
          <w:trHeight w:val="33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2" w:themeFillTint="99"/>
          </w:tcPr>
          <w:p w14:paraId="5AFE32E8" w14:textId="5B1EAA4A" w:rsidR="002C4417" w:rsidRPr="00BF7D1A" w:rsidRDefault="440F5519" w:rsidP="440F551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8:30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9:00 AM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2" w:themeFillTint="99"/>
          </w:tcPr>
          <w:p w14:paraId="64F3D994" w14:textId="77777777" w:rsidR="002C4417" w:rsidRPr="00211AA5" w:rsidRDefault="002C4417" w:rsidP="0066182F">
            <w:pPr>
              <w:spacing w:before="40" w:after="20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 w:rsidRPr="003A382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2C4417" w:rsidRPr="00BF7D1A" w14:paraId="7FB4B6AF" w14:textId="77777777" w:rsidTr="00AD1B3B">
        <w:trPr>
          <w:trHeight w:val="36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0BD" w14:textId="6EFC2B86" w:rsidR="002C4417" w:rsidRPr="00BF7D1A" w:rsidRDefault="003044AD" w:rsidP="63B4113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</w:t>
            </w:r>
            <w:r w:rsidR="00EA7712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9:10</w:t>
            </w:r>
            <w:r w:rsidR="63B4113F" w:rsidRPr="63B4113F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DBA" w14:textId="2D229234" w:rsidR="002C4417" w:rsidRPr="00BF7D1A" w:rsidRDefault="71A78D6B" w:rsidP="00DE584F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Opening Remarks 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>(Carson Christiano,</w:t>
            </w:r>
            <w:r w:rsidR="00DE584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CEGA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Executive Director</w:t>
            </w:r>
            <w:r w:rsidR="00DE584F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10226F" w14:paraId="6CE28BF7" w14:textId="77777777" w:rsidTr="00AD1B3B">
        <w:trPr>
          <w:trHeight w:val="360"/>
          <w:jc w:val="center"/>
        </w:trPr>
        <w:tc>
          <w:tcPr>
            <w:tcW w:w="2065" w:type="dxa"/>
          </w:tcPr>
          <w:p w14:paraId="4EF15DDF" w14:textId="0334F3CA" w:rsidR="0010226F" w:rsidRDefault="0010226F" w:rsidP="00102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9:10—9:</w:t>
            </w:r>
            <w:r w:rsidR="00306623"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7920" w:type="dxa"/>
          </w:tcPr>
          <w:p w14:paraId="1CAB2621" w14:textId="7CECEEE7" w:rsidR="0010226F" w:rsidRDefault="0010226F" w:rsidP="0010226F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44AD">
              <w:rPr>
                <w:rFonts w:ascii="Calibri" w:hAnsi="Calibri" w:cs="Calibri"/>
                <w:b/>
                <w:bCs/>
                <w:sz w:val="20"/>
                <w:szCs w:val="20"/>
              </w:rPr>
              <w:t>Keynote Address</w:t>
            </w:r>
            <w:r w:rsidRPr="003044A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044AD">
              <w:rPr>
                <w:rFonts w:ascii="Calibri" w:hAnsi="Calibri" w:cs="Calibri"/>
                <w:bCs/>
                <w:i/>
                <w:sz w:val="20"/>
                <w:szCs w:val="20"/>
              </w:rPr>
              <w:t>(Siddharth Chatterjee, UN Kenya Resident Coordinator)</w:t>
            </w:r>
          </w:p>
        </w:tc>
      </w:tr>
      <w:tr w:rsidR="00306623" w14:paraId="77B21425" w14:textId="77777777" w:rsidTr="00AD1B3B">
        <w:trPr>
          <w:trHeight w:val="360"/>
          <w:jc w:val="center"/>
        </w:trPr>
        <w:tc>
          <w:tcPr>
            <w:tcW w:w="2065" w:type="dxa"/>
          </w:tcPr>
          <w:p w14:paraId="0BE920EC" w14:textId="7D4026DC" w:rsidR="00306623" w:rsidRDefault="00306623" w:rsidP="00102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9:40—10:</w:t>
            </w:r>
            <w:r w:rsidR="008D1ECD">
              <w:rPr>
                <w:rFonts w:ascii="Calibri" w:hAnsi="Calibri" w:cs="Calibri"/>
                <w:sz w:val="20"/>
                <w:szCs w:val="20"/>
              </w:rPr>
              <w:t>05</w:t>
            </w:r>
            <w:r w:rsidR="00AD1B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920" w:type="dxa"/>
          </w:tcPr>
          <w:p w14:paraId="09A0C4FF" w14:textId="44241B7B" w:rsidR="00AD1B3B" w:rsidRPr="00306623" w:rsidRDefault="00306623" w:rsidP="00306623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Integrating Evidence into Policy Making</w:t>
            </w:r>
            <w:r w:rsidR="00AF69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044AD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Michael Onyango, Advisor, Cabinet Secretary, Ministry of ICT)</w:t>
            </w:r>
          </w:p>
        </w:tc>
      </w:tr>
      <w:tr w:rsidR="006E3B63" w:rsidRPr="00BF7D1A" w14:paraId="2D5674A1" w14:textId="77777777" w:rsidTr="00AD1B3B">
        <w:trPr>
          <w:trHeight w:val="360"/>
          <w:jc w:val="center"/>
        </w:trPr>
        <w:tc>
          <w:tcPr>
            <w:tcW w:w="2065" w:type="dxa"/>
          </w:tcPr>
          <w:p w14:paraId="52D147AB" w14:textId="5AD52511" w:rsidR="006E3B63" w:rsidRPr="00BF7D1A" w:rsidRDefault="00AD1B3B" w:rsidP="006E3B6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</w:t>
            </w:r>
            <w:r w:rsidR="008D1ECD">
              <w:rPr>
                <w:rFonts w:ascii="Calibri" w:hAnsi="Calibri" w:cs="Calibri"/>
                <w:sz w:val="20"/>
                <w:szCs w:val="20"/>
              </w:rPr>
              <w:t>05</w:t>
            </w:r>
            <w:r w:rsidR="006E3B63">
              <w:rPr>
                <w:rFonts w:ascii="Calibri" w:hAnsi="Calibri" w:cs="Calibri"/>
                <w:sz w:val="20"/>
                <w:szCs w:val="20"/>
              </w:rPr>
              <w:t>—</w:t>
            </w:r>
            <w:r w:rsidR="002B5C58">
              <w:rPr>
                <w:rFonts w:ascii="Calibri" w:hAnsi="Calibri" w:cs="Calibri"/>
                <w:sz w:val="20"/>
                <w:szCs w:val="20"/>
              </w:rPr>
              <w:t>1</w:t>
            </w:r>
            <w:r w:rsidR="008D1ECD">
              <w:rPr>
                <w:rFonts w:ascii="Calibri" w:hAnsi="Calibri" w:cs="Calibri"/>
                <w:sz w:val="20"/>
                <w:szCs w:val="20"/>
              </w:rPr>
              <w:t xml:space="preserve">1:05 </w:t>
            </w:r>
            <w:r w:rsidR="006E3B63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920" w:type="dxa"/>
          </w:tcPr>
          <w:p w14:paraId="594204D8" w14:textId="5C646ABD" w:rsidR="006E3B63" w:rsidRDefault="00841648" w:rsidP="006E3B63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Evidence </w:t>
            </w:r>
            <w:r w:rsidR="002B5C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on </w:t>
            </w:r>
            <w:r w:rsidR="001104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Community-Based Health Interventions </w:t>
            </w:r>
          </w:p>
          <w:p w14:paraId="7EAAA3DA" w14:textId="7C506553" w:rsidR="006E3B63" w:rsidRDefault="00140943" w:rsidP="006E3B63">
            <w:pPr>
              <w:spacing w:before="20" w:after="20"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br/>
            </w:r>
            <w:r w:rsidR="006E3B63" w:rsidRPr="1A660827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Impact of Amref Model of Alternative Rite of Passage on Health Outcomes in Kenya </w:t>
            </w:r>
            <w:r w:rsidR="006E3B63"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</w:t>
            </w:r>
            <w:r w:rsidR="008A4A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Samuel Muhula, EASST fellow</w:t>
            </w:r>
            <w:r w:rsidR="006E3B63" w:rsidRPr="1A660827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)</w:t>
            </w:r>
          </w:p>
          <w:p w14:paraId="7031D6A6" w14:textId="78784060" w:rsidR="00110466" w:rsidRDefault="00110466" w:rsidP="006E3B63">
            <w:pPr>
              <w:spacing w:before="20" w:after="20"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41B73AC5" w14:textId="08162F80" w:rsidR="006E3B63" w:rsidRPr="006E3B63" w:rsidRDefault="00110466" w:rsidP="006E3B63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06A4858">
              <w:rPr>
                <w:rFonts w:ascii="Calibri" w:hAnsi="Calibri" w:cs="Calibri"/>
                <w:color w:val="1F4F69"/>
                <w:sz w:val="18"/>
                <w:szCs w:val="18"/>
              </w:rPr>
              <w:t>The Weakness of Bottom Up Accountability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1F4F69"/>
                <w:sz w:val="18"/>
                <w:szCs w:val="18"/>
              </w:rPr>
              <w:t xml:space="preserve">in Uganda 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(Dan Posner, CEGA affiliate) </w:t>
            </w:r>
          </w:p>
        </w:tc>
      </w:tr>
      <w:tr w:rsidR="006E3B63" w:rsidRPr="00BF7D1A" w14:paraId="70CA2640" w14:textId="77777777" w:rsidTr="008D1ECD">
        <w:trPr>
          <w:trHeight w:val="323"/>
          <w:jc w:val="center"/>
        </w:trPr>
        <w:tc>
          <w:tcPr>
            <w:tcW w:w="2065" w:type="dxa"/>
            <w:shd w:val="clear" w:color="auto" w:fill="D8D8D8" w:themeFill="background2" w:themeFillTint="99"/>
          </w:tcPr>
          <w:p w14:paraId="6F8E8F88" w14:textId="00F00CD8" w:rsidR="006E3B63" w:rsidRDefault="002B5C58" w:rsidP="006E3B6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D1ECD">
              <w:rPr>
                <w:rFonts w:ascii="Calibri" w:hAnsi="Calibri" w:cs="Calibri"/>
                <w:sz w:val="20"/>
                <w:szCs w:val="20"/>
              </w:rPr>
              <w:t>1:05</w:t>
            </w:r>
            <w:r w:rsidR="006E3B63">
              <w:rPr>
                <w:rFonts w:ascii="Calibri" w:hAnsi="Calibri" w:cs="Calibri"/>
                <w:sz w:val="20"/>
                <w:szCs w:val="20"/>
              </w:rPr>
              <w:t>—11</w:t>
            </w:r>
            <w:r w:rsidR="000B6F4E">
              <w:rPr>
                <w:rFonts w:ascii="Calibri" w:hAnsi="Calibri" w:cs="Calibri"/>
                <w:sz w:val="20"/>
                <w:szCs w:val="20"/>
              </w:rPr>
              <w:t>:</w:t>
            </w:r>
            <w:r w:rsidR="008D1ECD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="006E3B63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7920" w:type="dxa"/>
            <w:shd w:val="clear" w:color="auto" w:fill="D8D8D8" w:themeFill="background2" w:themeFillTint="99"/>
          </w:tcPr>
          <w:p w14:paraId="4B254B64" w14:textId="19CF3342" w:rsidR="006E3B63" w:rsidRPr="00BF7D1A" w:rsidRDefault="006E3B63" w:rsidP="008D1ECD">
            <w:pPr>
              <w:pStyle w:val="Body"/>
              <w:shd w:val="clear" w:color="auto" w:fill="D8D8D8" w:themeFill="background2" w:themeFillTint="99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Coffee Break</w:t>
            </w:r>
          </w:p>
        </w:tc>
      </w:tr>
      <w:tr w:rsidR="006E3B63" w:rsidRPr="00BF7D1A" w14:paraId="5E4C16A3" w14:textId="77777777" w:rsidTr="00AD1B3B">
        <w:trPr>
          <w:trHeight w:val="323"/>
          <w:jc w:val="center"/>
        </w:trPr>
        <w:tc>
          <w:tcPr>
            <w:tcW w:w="2065" w:type="dxa"/>
          </w:tcPr>
          <w:p w14:paraId="295B874F" w14:textId="1ED599AB" w:rsidR="006E3B63" w:rsidRDefault="006E3B63" w:rsidP="006E3B6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0B6F4E">
              <w:rPr>
                <w:rFonts w:ascii="Calibri" w:hAnsi="Calibri" w:cs="Calibri"/>
                <w:sz w:val="20"/>
                <w:szCs w:val="20"/>
              </w:rPr>
              <w:t>:</w:t>
            </w:r>
            <w:r w:rsidR="008D1ECD">
              <w:rPr>
                <w:rFonts w:ascii="Calibri" w:hAnsi="Calibri" w:cs="Calibri"/>
                <w:sz w:val="20"/>
                <w:szCs w:val="20"/>
              </w:rPr>
              <w:t>25</w:t>
            </w:r>
            <w:r w:rsidR="00006DAB">
              <w:rPr>
                <w:rFonts w:ascii="Calibri" w:hAnsi="Calibri" w:cs="Calibri"/>
                <w:sz w:val="20"/>
                <w:szCs w:val="20"/>
              </w:rPr>
              <w:t xml:space="preserve"> AM</w:t>
            </w:r>
            <w:r>
              <w:rPr>
                <w:rFonts w:ascii="Calibri" w:hAnsi="Calibri" w:cs="Calibri"/>
                <w:sz w:val="20"/>
                <w:szCs w:val="20"/>
              </w:rPr>
              <w:t>—12:</w:t>
            </w:r>
            <w:r w:rsidR="008D1ECD">
              <w:rPr>
                <w:rFonts w:ascii="Calibri" w:hAnsi="Calibri" w:cs="Calibri"/>
                <w:sz w:val="20"/>
                <w:szCs w:val="20"/>
              </w:rPr>
              <w:t>25</w:t>
            </w:r>
            <w:r w:rsidR="005E66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7920" w:type="dxa"/>
          </w:tcPr>
          <w:p w14:paraId="79779D11" w14:textId="72E35B70" w:rsidR="006E3B63" w:rsidRPr="00BF7D1A" w:rsidRDefault="00841648" w:rsidP="006E3B63">
            <w:pPr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Evidence</w:t>
            </w:r>
            <w:r w:rsidR="002B5C58">
              <w:rPr>
                <w:rFonts w:ascii="Calibri" w:hAnsi="Calibri" w:cs="Calibri"/>
                <w:b/>
                <w:sz w:val="20"/>
                <w:szCs w:val="20"/>
              </w:rPr>
              <w:t xml:space="preserve"> on I</w:t>
            </w:r>
            <w:r w:rsidR="00110466">
              <w:rPr>
                <w:rFonts w:ascii="Calibri" w:hAnsi="Calibri" w:cs="Calibri"/>
                <w:b/>
                <w:sz w:val="20"/>
                <w:szCs w:val="20"/>
              </w:rPr>
              <w:t>nfectious Disease</w:t>
            </w:r>
          </w:p>
          <w:p w14:paraId="1970262C" w14:textId="77777777" w:rsidR="008D4DB9" w:rsidRDefault="008D4DB9" w:rsidP="00110466">
            <w:pPr>
              <w:pStyle w:val="Body"/>
              <w:spacing w:line="276" w:lineRule="auto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3DFE1D6A" w14:textId="1728F5F3" w:rsidR="00110466" w:rsidRDefault="00110466" w:rsidP="00110466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55A7AD3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Girls’ Education and HIV Risk 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in Uganda </w:t>
            </w:r>
            <w:r w:rsidRPr="055A7AD3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(Marcella Alsan, CEGA affiliate)</w:t>
            </w:r>
          </w:p>
          <w:p w14:paraId="1BA6FC27" w14:textId="70241FBC" w:rsidR="00110466" w:rsidRDefault="00110466" w:rsidP="00110466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3762A476" w14:textId="334C1032" w:rsidR="006E3B63" w:rsidRPr="00140943" w:rsidRDefault="00110466" w:rsidP="006E3B63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>Impact of Insecurity on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the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Ebola Response in the DRC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(Vedaste Ndahindwa, EASST fellow)</w:t>
            </w:r>
          </w:p>
        </w:tc>
      </w:tr>
      <w:tr w:rsidR="006E3B63" w:rsidRPr="00BF7D1A" w14:paraId="2DA58927" w14:textId="77777777" w:rsidTr="008D1ECD">
        <w:trPr>
          <w:trHeight w:val="296"/>
          <w:jc w:val="center"/>
        </w:trPr>
        <w:tc>
          <w:tcPr>
            <w:tcW w:w="2065" w:type="dxa"/>
            <w:shd w:val="clear" w:color="auto" w:fill="D8D8D8" w:themeFill="background2" w:themeFillTint="99"/>
          </w:tcPr>
          <w:p w14:paraId="5B1D4736" w14:textId="6BB7509E" w:rsidR="006E3B63" w:rsidRPr="008D1ECD" w:rsidRDefault="006E3B63" w:rsidP="006E3B63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12:</w:t>
            </w:r>
            <w:r w:rsidR="008D1ECD"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  <w:r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—</w:t>
            </w:r>
            <w:r w:rsidR="00375A95"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</w:t>
            </w:r>
            <w:r w:rsidR="00E37601"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AD1B3B"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E37601"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D1EC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7920" w:type="dxa"/>
            <w:shd w:val="clear" w:color="auto" w:fill="D8D8D8" w:themeFill="background2" w:themeFillTint="99"/>
          </w:tcPr>
          <w:p w14:paraId="0D41BABC" w14:textId="1D6562BC" w:rsidR="00306623" w:rsidRPr="00F90231" w:rsidRDefault="006E3B63" w:rsidP="006E3B63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D1EC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Lunch</w:t>
            </w:r>
            <w:r w:rsidR="00306623" w:rsidRPr="008D1EC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6623"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E3B63" w:rsidRPr="00BF7D1A" w14:paraId="6B94CB6B" w14:textId="77777777" w:rsidTr="00AD1B3B">
        <w:trPr>
          <w:trHeight w:val="2141"/>
          <w:jc w:val="center"/>
        </w:trPr>
        <w:tc>
          <w:tcPr>
            <w:tcW w:w="2065" w:type="dxa"/>
          </w:tcPr>
          <w:p w14:paraId="03B0EC59" w14:textId="2AD03EEE" w:rsidR="006E3B63" w:rsidRDefault="00375A95" w:rsidP="006E3B63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</w:t>
            </w:r>
            <w:r w:rsidR="00E37601">
              <w:rPr>
                <w:rFonts w:ascii="Calibri" w:hAnsi="Calibri" w:cs="Calibri"/>
                <w:sz w:val="20"/>
                <w:szCs w:val="20"/>
              </w:rPr>
              <w:t>4</w:t>
            </w:r>
            <w:r w:rsidR="00AD1B3B">
              <w:rPr>
                <w:rFonts w:ascii="Calibri" w:hAnsi="Calibri" w:cs="Calibri"/>
                <w:sz w:val="20"/>
                <w:szCs w:val="20"/>
              </w:rPr>
              <w:t>5</w:t>
            </w:r>
            <w:r w:rsidR="00EA470E">
              <w:rPr>
                <w:rFonts w:ascii="Calibri" w:hAnsi="Calibri" w:cs="Calibri"/>
                <w:sz w:val="20"/>
                <w:szCs w:val="20"/>
              </w:rPr>
              <w:t>—2:</w:t>
            </w:r>
            <w:r w:rsidR="00AD1B3B">
              <w:rPr>
                <w:rFonts w:ascii="Calibri" w:hAnsi="Calibri" w:cs="Calibri"/>
                <w:sz w:val="20"/>
                <w:szCs w:val="20"/>
              </w:rPr>
              <w:t>35</w:t>
            </w:r>
            <w:r w:rsidR="00EA470E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920" w:type="dxa"/>
          </w:tcPr>
          <w:p w14:paraId="3AB8D564" w14:textId="18FAA172" w:rsidR="006E3B63" w:rsidRDefault="006E3B63" w:rsidP="006E3B63">
            <w:pPr>
              <w:spacing w:before="20" w:after="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1B5F916">
              <w:rPr>
                <w:rFonts w:ascii="Calibri" w:hAnsi="Calibri" w:cs="Calibri"/>
                <w:b/>
                <w:bCs/>
                <w:sz w:val="20"/>
                <w:szCs w:val="20"/>
              </w:rPr>
              <w:t>Data Systems for Universal Health Coverage</w:t>
            </w:r>
            <w:r w:rsidR="008D4D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2B5C58">
              <w:rPr>
                <w:rFonts w:ascii="Calibri" w:hAnsi="Calibri" w:cs="Calibri"/>
                <w:b/>
                <w:bCs/>
                <w:sz w:val="20"/>
                <w:szCs w:val="20"/>
              </w:rPr>
              <w:t>Roundtable</w:t>
            </w:r>
          </w:p>
          <w:p w14:paraId="11F8F703" w14:textId="77777777" w:rsidR="008D4DB9" w:rsidRDefault="008D4DB9" w:rsidP="006E3B63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5FDF3A3D" w14:textId="6B32ABE2" w:rsidR="006E3B63" w:rsidRDefault="006E3B63" w:rsidP="006E3B63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41B5F91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The African Population Health Research Centre (APHRC) will conduct a roundtable discussion on the data systems and indicators governments in East Africa need to measure Universal Health Coverage (UHC). </w:t>
            </w:r>
          </w:p>
          <w:p w14:paraId="529FF042" w14:textId="77777777" w:rsidR="002B5C58" w:rsidRDefault="002B5C58" w:rsidP="006E3B63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3567D64B" w14:textId="319B9267" w:rsidR="006E3B63" w:rsidRPr="002B5C58" w:rsidRDefault="006E3B63" w:rsidP="002B5C58">
            <w:pPr>
              <w:spacing w:before="20" w:after="20"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09ED663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Panelists: </w:t>
            </w:r>
            <w:r w:rsidRPr="09ED6636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Abdhalah Ziraba </w:t>
            </w:r>
            <w:r w:rsidRPr="09ED663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(Head of Health Systems for Health, APHRC); </w:t>
            </w:r>
            <w:r w:rsidRPr="09ED6636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Caroline Kabaria </w:t>
            </w:r>
            <w:r w:rsidRPr="09ED663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(Associate Research Scientist, APHRC); </w:t>
            </w:r>
            <w:r w:rsidRPr="09ED6636">
              <w:rPr>
                <w:rFonts w:ascii="Calibri" w:hAnsi="Calibri" w:cs="Calibri"/>
                <w:b/>
                <w:bCs/>
                <w:i/>
                <w:iCs/>
                <w:color w:val="1F4F69"/>
                <w:sz w:val="18"/>
                <w:szCs w:val="18"/>
              </w:rPr>
              <w:t xml:space="preserve">Hermann Donfouet </w:t>
            </w:r>
            <w:r w:rsidRPr="09ED663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(Associate Research Scientist, APHRC)</w:t>
            </w:r>
            <w:r w:rsidR="008D1ECD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. </w:t>
            </w:r>
            <w:r w:rsidR="002B5C58" w:rsidRPr="41B5F916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Moderated by Damazo Kadengye, APHRC, EASST fellow.</w:t>
            </w:r>
          </w:p>
        </w:tc>
      </w:tr>
      <w:tr w:rsidR="008D4DB9" w:rsidRPr="00BF7D1A" w14:paraId="168D54F8" w14:textId="77777777" w:rsidTr="00AD1B3B">
        <w:trPr>
          <w:trHeight w:val="440"/>
          <w:jc w:val="center"/>
        </w:trPr>
        <w:tc>
          <w:tcPr>
            <w:tcW w:w="2065" w:type="dxa"/>
          </w:tcPr>
          <w:p w14:paraId="3F593A69" w14:textId="4C7903D4" w:rsidR="008D4DB9" w:rsidRDefault="008D4DB9" w:rsidP="008D4DB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</w:t>
            </w:r>
            <w:r w:rsidR="00AD1B3B">
              <w:rPr>
                <w:rFonts w:ascii="Calibri" w:hAnsi="Calibri" w:cs="Calibri"/>
                <w:sz w:val="20"/>
                <w:szCs w:val="20"/>
              </w:rPr>
              <w:t>3</w:t>
            </w:r>
            <w:r w:rsidR="00E37601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—</w:t>
            </w:r>
            <w:r w:rsidR="00841648">
              <w:rPr>
                <w:rFonts w:ascii="Calibri" w:hAnsi="Calibri" w:cs="Calibri"/>
                <w:sz w:val="20"/>
                <w:szCs w:val="20"/>
              </w:rPr>
              <w:t>3:35</w:t>
            </w:r>
            <w:r w:rsidR="008D1ECD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7920" w:type="dxa"/>
          </w:tcPr>
          <w:p w14:paraId="4F775BD8" w14:textId="7EE380F5" w:rsidR="008D4DB9" w:rsidRDefault="008D4DB9" w:rsidP="008D4DB9">
            <w:pPr>
              <w:spacing w:before="20" w:after="20"/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Economic Growth and Development</w:t>
            </w:r>
          </w:p>
          <w:p w14:paraId="35191A93" w14:textId="77777777" w:rsidR="008D4DB9" w:rsidRPr="00A563AB" w:rsidRDefault="008D4DB9" w:rsidP="008D4DB9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1F1D48C1" w14:textId="673CF670" w:rsidR="008D4DB9" w:rsidRDefault="008D4DB9" w:rsidP="008D4DB9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6CFBDDF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Growth-Oriented Agricultural Program and Impacts on Poverty in Ethiopia </w:t>
            </w:r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(Tigist Melesse</w:t>
            </w:r>
            <w:r w:rsidR="008D1ECD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, </w:t>
            </w:r>
            <w:r w:rsidRPr="6CFBDDF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EASST fellow</w:t>
            </w:r>
            <w:r w:rsidR="008D1ECD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)</w:t>
            </w:r>
          </w:p>
          <w:p w14:paraId="5FA4D0B6" w14:textId="50E7BAF8" w:rsidR="008D1ECD" w:rsidRDefault="008D1ECD" w:rsidP="008D4DB9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5D22AE80" w14:textId="6D0FC5DC" w:rsidR="008D4DB9" w:rsidRPr="0048770C" w:rsidRDefault="008D4DB9" w:rsidP="008D4DB9">
            <w:pPr>
              <w:spacing w:before="20" w:after="20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003F2B47">
              <w:rPr>
                <w:rFonts w:ascii="Calibri" w:hAnsi="Calibri" w:cs="Calibri"/>
                <w:color w:val="1F4F69"/>
                <w:sz w:val="18"/>
                <w:szCs w:val="18"/>
              </w:rPr>
              <w:t>The Welfare Impacts of Internal Migration on Remaining Household Members: Evidence from Ethiopia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  <w:r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(Dagim Belay, EASST fellow)</w:t>
            </w:r>
          </w:p>
        </w:tc>
      </w:tr>
      <w:tr w:rsidR="00841648" w:rsidRPr="00BF7D1A" w14:paraId="35D27BC1" w14:textId="77777777" w:rsidTr="00841648">
        <w:trPr>
          <w:trHeight w:val="287"/>
          <w:jc w:val="center"/>
        </w:trPr>
        <w:tc>
          <w:tcPr>
            <w:tcW w:w="2065" w:type="dxa"/>
            <w:shd w:val="clear" w:color="auto" w:fill="D8D8D8" w:themeFill="background2" w:themeFillTint="99"/>
          </w:tcPr>
          <w:p w14:paraId="7CC1E833" w14:textId="2878C57C" w:rsidR="00841648" w:rsidRDefault="00841648" w:rsidP="008D4DB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3:35—3:50 PM</w:t>
            </w:r>
          </w:p>
        </w:tc>
        <w:tc>
          <w:tcPr>
            <w:tcW w:w="7920" w:type="dxa"/>
            <w:shd w:val="clear" w:color="auto" w:fill="D8D8D8" w:themeFill="background2" w:themeFillTint="99"/>
          </w:tcPr>
          <w:p w14:paraId="35F5E803" w14:textId="62B98A01" w:rsidR="00841648" w:rsidRPr="71A78D6B" w:rsidRDefault="00841648" w:rsidP="008D4DB9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Coffee Break</w:t>
            </w:r>
          </w:p>
        </w:tc>
      </w:tr>
      <w:tr w:rsidR="008D1ECD" w:rsidRPr="00BF7D1A" w14:paraId="23727A9E" w14:textId="77777777" w:rsidTr="00AD1B3B">
        <w:trPr>
          <w:trHeight w:val="440"/>
          <w:jc w:val="center"/>
        </w:trPr>
        <w:tc>
          <w:tcPr>
            <w:tcW w:w="2065" w:type="dxa"/>
          </w:tcPr>
          <w:p w14:paraId="0F2BC78B" w14:textId="7E0C5F71" w:rsidR="008D1ECD" w:rsidRDefault="00841648" w:rsidP="008D4DB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3:50—4:20 PM</w:t>
            </w:r>
          </w:p>
        </w:tc>
        <w:tc>
          <w:tcPr>
            <w:tcW w:w="7920" w:type="dxa"/>
          </w:tcPr>
          <w:p w14:paraId="5BD80823" w14:textId="06F1FBCD" w:rsidR="00841648" w:rsidRDefault="00841648" w:rsidP="00841648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Economic Growth and Developmen</w:t>
            </w:r>
            <w:r w:rsidR="003A3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 </w:t>
            </w:r>
            <w:r w:rsidR="003A382B" w:rsidRPr="003A382B">
              <w:rPr>
                <w:rFonts w:ascii="Calibri" w:hAnsi="Calibri" w:cs="Calibri"/>
                <w:bCs/>
                <w:i/>
                <w:sz w:val="20"/>
                <w:szCs w:val="20"/>
              </w:rPr>
              <w:t>(cont’d)</w:t>
            </w:r>
            <w:r w:rsidR="003A3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C7A1246" w14:textId="77777777" w:rsidR="00841648" w:rsidRDefault="00841648" w:rsidP="00841648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92CA95" w14:textId="5628F31A" w:rsidR="008D1ECD" w:rsidRPr="00140943" w:rsidRDefault="00841648" w:rsidP="00140943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Banking the Group: The Impact of Linking Savings Groups to Banks in Uganda </w:t>
            </w:r>
            <w:r w:rsidRPr="119CA6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(Alfredo Burlando, CEGA affiliate)</w:t>
            </w:r>
            <w:r w:rsidRPr="119CA64F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</w:p>
        </w:tc>
      </w:tr>
      <w:tr w:rsidR="008D4DB9" w:rsidRPr="00BF7D1A" w14:paraId="686DD72E" w14:textId="77777777" w:rsidTr="00AD1B3B">
        <w:trPr>
          <w:trHeight w:val="440"/>
          <w:jc w:val="center"/>
        </w:trPr>
        <w:tc>
          <w:tcPr>
            <w:tcW w:w="2065" w:type="dxa"/>
          </w:tcPr>
          <w:p w14:paraId="0A972173" w14:textId="4EC40040" w:rsidR="008D4DB9" w:rsidRDefault="008D4DB9" w:rsidP="008D4DB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</w:t>
            </w:r>
            <w:r w:rsidR="003A382B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—</w:t>
            </w:r>
            <w:r w:rsidR="00E37601">
              <w:rPr>
                <w:rFonts w:ascii="Calibri" w:hAnsi="Calibri" w:cs="Calibri"/>
                <w:sz w:val="20"/>
                <w:szCs w:val="20"/>
              </w:rPr>
              <w:t>4:5</w:t>
            </w:r>
            <w:r w:rsidR="00406E34">
              <w:rPr>
                <w:rFonts w:ascii="Calibri" w:hAnsi="Calibri" w:cs="Calibri"/>
                <w:sz w:val="20"/>
                <w:szCs w:val="20"/>
              </w:rPr>
              <w:t>0</w:t>
            </w:r>
            <w:r w:rsidR="00E376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7920" w:type="dxa"/>
          </w:tcPr>
          <w:p w14:paraId="682A022C" w14:textId="41C3DBDC" w:rsidR="008D4DB9" w:rsidRDefault="008D4DB9" w:rsidP="008D4DB9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506D7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Network of Impact Evaluation Researchers in Africa: Future Directions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(Amos Njuguna, EASST f</w:t>
            </w:r>
            <w:r w:rsidRPr="7506D7F3">
              <w:rPr>
                <w:rFonts w:ascii="Calibri" w:hAnsi="Calibri" w:cs="Calibri"/>
                <w:i/>
                <w:iCs/>
                <w:sz w:val="20"/>
                <w:szCs w:val="20"/>
              </w:rPr>
              <w:t>ellow, NIERA Chair)</w:t>
            </w:r>
          </w:p>
          <w:p w14:paraId="62EAE55C" w14:textId="2EA24C7E" w:rsidR="008D4DB9" w:rsidRPr="71A78D6B" w:rsidRDefault="008D4DB9" w:rsidP="008D4DB9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0F5519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This presentation </w:t>
            </w:r>
            <w:r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will </w:t>
            </w:r>
            <w:r w:rsidRPr="440F5519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discuss results from a 5-country scoping study on impact evaluation capacity and demand within governments</w:t>
            </w:r>
            <w:r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, and future directions of the EASST fellow alumni-led network.</w:t>
            </w:r>
          </w:p>
        </w:tc>
      </w:tr>
      <w:tr w:rsidR="006C76B8" w:rsidRPr="00BF7D1A" w14:paraId="4ED21B6E" w14:textId="77777777" w:rsidTr="00AD1B3B">
        <w:trPr>
          <w:trHeight w:val="440"/>
          <w:jc w:val="center"/>
        </w:trPr>
        <w:tc>
          <w:tcPr>
            <w:tcW w:w="2065" w:type="dxa"/>
          </w:tcPr>
          <w:p w14:paraId="23F54B78" w14:textId="7F034BD9" w:rsidR="006C76B8" w:rsidRDefault="006C76B8" w:rsidP="008D4DB9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</w:t>
            </w:r>
            <w:r w:rsidR="00127DF7">
              <w:rPr>
                <w:rFonts w:ascii="Calibri" w:hAnsi="Calibri" w:cs="Calibri"/>
                <w:sz w:val="20"/>
                <w:szCs w:val="20"/>
              </w:rPr>
              <w:t>5</w:t>
            </w:r>
            <w:r w:rsidR="00406E34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—</w:t>
            </w:r>
            <w:r w:rsidR="00127DF7">
              <w:rPr>
                <w:rFonts w:ascii="Calibri" w:hAnsi="Calibri" w:cs="Calibri"/>
                <w:sz w:val="20"/>
                <w:szCs w:val="20"/>
              </w:rPr>
              <w:t>5:</w:t>
            </w:r>
            <w:r w:rsidR="00E37601">
              <w:rPr>
                <w:rFonts w:ascii="Calibri" w:hAnsi="Calibri" w:cs="Calibri"/>
                <w:sz w:val="20"/>
                <w:szCs w:val="20"/>
              </w:rPr>
              <w:t>0</w:t>
            </w:r>
            <w:r w:rsidR="00406E34">
              <w:rPr>
                <w:rFonts w:ascii="Calibri" w:hAnsi="Calibri" w:cs="Calibri"/>
                <w:sz w:val="20"/>
                <w:szCs w:val="20"/>
              </w:rPr>
              <w:t>0</w:t>
            </w:r>
            <w:r w:rsidR="00127D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7920" w:type="dxa"/>
          </w:tcPr>
          <w:p w14:paraId="145CFFE8" w14:textId="62A202E8" w:rsidR="006C76B8" w:rsidRPr="006C76B8" w:rsidRDefault="006C76B8" w:rsidP="00006DAB">
            <w:pPr>
              <w:spacing w:before="20" w:after="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Closing Remarks </w:t>
            </w:r>
          </w:p>
        </w:tc>
      </w:tr>
      <w:tr w:rsidR="0067587F" w:rsidRPr="00BF7D1A" w14:paraId="0B371258" w14:textId="77777777" w:rsidTr="003A382B">
        <w:trPr>
          <w:trHeight w:val="36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2" w:themeFillTint="99"/>
          </w:tcPr>
          <w:p w14:paraId="6D94191E" w14:textId="586FE8D8" w:rsidR="0067587F" w:rsidRDefault="00127DF7" w:rsidP="0067587F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5:0</w:t>
            </w:r>
            <w:r w:rsidR="00406E34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—6:30 PM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2" w:themeFillTint="99"/>
          </w:tcPr>
          <w:p w14:paraId="11226EC1" w14:textId="77777777" w:rsidR="00006DAB" w:rsidRDefault="0067587F" w:rsidP="0067587F">
            <w:pPr>
              <w:pStyle w:val="Body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A382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Cocktail Reception</w:t>
            </w:r>
            <w:r w:rsidR="00006DA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on Terrace </w:t>
            </w:r>
          </w:p>
          <w:p w14:paraId="1C7F1FE6" w14:textId="1837523D" w:rsidR="0067587F" w:rsidRPr="00006DAB" w:rsidRDefault="003A382B" w:rsidP="0067587F">
            <w:pPr>
              <w:pStyle w:val="Body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006DA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with b</w:t>
            </w:r>
            <w:r w:rsidR="00AD1B3B" w:rsidRPr="00006DA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ehavioural games facilitated by the Busara Center</w:t>
            </w:r>
            <w:r w:rsidR="002B40A7" w:rsidRPr="00006DAB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for Behavioral Economics</w:t>
            </w:r>
          </w:p>
          <w:p w14:paraId="6594741B" w14:textId="7C030FB9" w:rsidR="00140943" w:rsidRPr="003A382B" w:rsidRDefault="00140943" w:rsidP="0067587F">
            <w:pPr>
              <w:pStyle w:val="Body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461"/>
        <w:tblW w:w="10075" w:type="dxa"/>
        <w:tblLook w:val="04A0" w:firstRow="1" w:lastRow="0" w:firstColumn="1" w:lastColumn="0" w:noHBand="0" w:noVBand="1"/>
      </w:tblPr>
      <w:tblGrid>
        <w:gridCol w:w="1975"/>
        <w:gridCol w:w="8100"/>
      </w:tblGrid>
      <w:tr w:rsidR="00B80C06" w:rsidRPr="00BF7D1A" w14:paraId="23995168" w14:textId="77777777" w:rsidTr="002B40A7">
        <w:trPr>
          <w:trHeight w:val="413"/>
        </w:trPr>
        <w:tc>
          <w:tcPr>
            <w:tcW w:w="10075" w:type="dxa"/>
            <w:gridSpan w:val="2"/>
            <w:shd w:val="clear" w:color="auto" w:fill="DAEAF4" w:themeFill="accent1" w:themeFillTint="33"/>
            <w:vAlign w:val="center"/>
          </w:tcPr>
          <w:p w14:paraId="2B743170" w14:textId="600B11E7" w:rsidR="00B80C06" w:rsidRPr="00B80C06" w:rsidRDefault="03E5B6B5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</w:pPr>
            <w:r w:rsidRPr="03E5B6B5">
              <w:rPr>
                <w:rFonts w:ascii="Calibri" w:hAnsi="Calibri" w:cs="Calibri"/>
                <w:b/>
                <w:bCs/>
                <w:color w:val="5F5F5F" w:themeColor="background2" w:themeShade="7F"/>
                <w:sz w:val="28"/>
                <w:szCs w:val="28"/>
              </w:rPr>
              <w:lastRenderedPageBreak/>
              <w:t>Tuesday, July 23:  New Research and Capacity Building</w:t>
            </w:r>
          </w:p>
        </w:tc>
      </w:tr>
      <w:tr w:rsidR="00B80C06" w:rsidRPr="00BF7D1A" w14:paraId="79BCEFB9" w14:textId="77777777" w:rsidTr="002B40A7">
        <w:trPr>
          <w:trHeight w:val="384"/>
        </w:trPr>
        <w:tc>
          <w:tcPr>
            <w:tcW w:w="1975" w:type="dxa"/>
            <w:shd w:val="clear" w:color="auto" w:fill="D8D8D8" w:themeFill="background2" w:themeFillTint="99"/>
            <w:vAlign w:val="center"/>
          </w:tcPr>
          <w:p w14:paraId="4BD4D3B4" w14:textId="615D2CD7" w:rsidR="00B80C06" w:rsidRPr="00BF7D1A" w:rsidRDefault="00B80C0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8:30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9:00 AM</w:t>
            </w:r>
          </w:p>
        </w:tc>
        <w:tc>
          <w:tcPr>
            <w:tcW w:w="8100" w:type="dxa"/>
            <w:shd w:val="clear" w:color="auto" w:fill="D8D8D8" w:themeFill="background2" w:themeFillTint="99"/>
          </w:tcPr>
          <w:p w14:paraId="3ECA80D3" w14:textId="77777777" w:rsidR="00B80C06" w:rsidRPr="0066182F" w:rsidRDefault="00B80C06" w:rsidP="00812880">
            <w:pPr>
              <w:spacing w:before="40" w:after="20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  <w:r w:rsidRPr="003A382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B80C06" w:rsidRPr="00BF7D1A" w14:paraId="0EFCBE36" w14:textId="77777777" w:rsidTr="002B40A7">
        <w:trPr>
          <w:trHeight w:val="360"/>
        </w:trPr>
        <w:tc>
          <w:tcPr>
            <w:tcW w:w="1975" w:type="dxa"/>
            <w:vAlign w:val="center"/>
          </w:tcPr>
          <w:p w14:paraId="60457A93" w14:textId="12D39E6B" w:rsidR="00B80C06" w:rsidRPr="00BF7D1A" w:rsidRDefault="00B80C06" w:rsidP="00812880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sz w:val="20"/>
                <w:szCs w:val="20"/>
              </w:rPr>
              <w:t>9:00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9:10 AM</w:t>
            </w:r>
          </w:p>
        </w:tc>
        <w:tc>
          <w:tcPr>
            <w:tcW w:w="8100" w:type="dxa"/>
            <w:vAlign w:val="center"/>
          </w:tcPr>
          <w:p w14:paraId="647C48AB" w14:textId="19CA3760" w:rsidR="00B80C06" w:rsidRPr="00114258" w:rsidRDefault="71A78D6B" w:rsidP="00812880">
            <w:pPr>
              <w:spacing w:before="20" w:after="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Introduction to Day 2 </w:t>
            </w:r>
            <w:r w:rsidRPr="71A78D6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(Maya Ranganath, EASST Senior Program Manager) </w:t>
            </w:r>
          </w:p>
        </w:tc>
      </w:tr>
      <w:tr w:rsidR="00916014" w:rsidRPr="00BF7D1A" w14:paraId="143CC498" w14:textId="77777777" w:rsidTr="005C4A8E">
        <w:trPr>
          <w:trHeight w:val="2220"/>
        </w:trPr>
        <w:tc>
          <w:tcPr>
            <w:tcW w:w="1975" w:type="dxa"/>
          </w:tcPr>
          <w:p w14:paraId="2433C105" w14:textId="603C87E1" w:rsidR="00916014" w:rsidRDefault="003C454A" w:rsidP="00916014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9:10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9:5</w:t>
            </w:r>
            <w:r w:rsidR="00073986">
              <w:rPr>
                <w:rFonts w:ascii="Calibri" w:hAnsi="Calibri" w:cs="Calibri"/>
                <w:sz w:val="20"/>
                <w:szCs w:val="20"/>
              </w:rPr>
              <w:t>5</w:t>
            </w:r>
            <w:r w:rsidR="00916014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</w:tc>
        <w:tc>
          <w:tcPr>
            <w:tcW w:w="8100" w:type="dxa"/>
            <w:vAlign w:val="center"/>
          </w:tcPr>
          <w:p w14:paraId="24193422" w14:textId="5BDD761B" w:rsidR="00916014" w:rsidRDefault="00916014" w:rsidP="009160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440F55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Research Capacity Building in East Africa: Current Landscape and Opportunities </w:t>
            </w:r>
          </w:p>
          <w:p w14:paraId="5A08D4E1" w14:textId="77777777" w:rsidR="001C5E51" w:rsidRDefault="001C5E51" w:rsidP="009160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F1B9DD" w14:textId="1CE0DA40" w:rsidR="00916014" w:rsidRDefault="2708C82E" w:rsidP="2708C82E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2708C82E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This presentation will invite representatives from various research capacity building programs, to speak about their respective model and its advantages and disadvantages</w:t>
            </w:r>
            <w:r w:rsidR="00A741DE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>.</w:t>
            </w:r>
          </w:p>
          <w:p w14:paraId="5574585B" w14:textId="77777777" w:rsidR="00916014" w:rsidRDefault="00916014" w:rsidP="00916014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3BD33E64" w14:textId="3C3AE073" w:rsidR="00442AA9" w:rsidRPr="00006DAB" w:rsidRDefault="00037D09" w:rsidP="00A741DE">
            <w:pPr>
              <w:pStyle w:val="Body"/>
              <w:spacing w:line="276" w:lineRule="auto"/>
              <w:rPr>
                <w:rFonts w:ascii="Calibri" w:hAnsi="Calibri" w:cs="Calibri"/>
                <w:bCs/>
                <w:color w:val="1F4F69"/>
                <w:sz w:val="18"/>
                <w:szCs w:val="18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Panelists: </w:t>
            </w:r>
            <w:r w:rsidRPr="00037D09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Joy Kiiru</w:t>
            </w: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(Deputy Board Chair, Mawazo Institute)</w:t>
            </w:r>
            <w:r w:rsidR="00E90D9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; </w:t>
            </w:r>
            <w:r w:rsidR="00E90D98" w:rsidRPr="00E90D98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Aimee Hare</w:t>
            </w:r>
            <w:r w:rsidR="00E90D9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</w:t>
            </w:r>
            <w:r w:rsidR="00916014" w:rsidRPr="03E5B6B5">
              <w:rPr>
                <w:rFonts w:ascii="Calibri" w:hAnsi="Calibri" w:cs="Calibri"/>
                <w:color w:val="1F4F69"/>
                <w:sz w:val="18"/>
                <w:szCs w:val="18"/>
              </w:rPr>
              <w:t>(</w:t>
            </w:r>
            <w:r w:rsidR="00E90D98">
              <w:rPr>
                <w:rFonts w:ascii="Calibri" w:hAnsi="Calibri" w:cs="Calibri"/>
                <w:color w:val="1F4F69"/>
                <w:sz w:val="18"/>
                <w:szCs w:val="18"/>
              </w:rPr>
              <w:t>Policy Associate, J-PAL Africa</w:t>
            </w:r>
            <w:r w:rsidR="00916014" w:rsidRPr="03E5B6B5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), </w:t>
            </w:r>
            <w:r w:rsidR="00E90D98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 xml:space="preserve">Evelyn Gitau </w:t>
            </w:r>
            <w:r w:rsidR="00E90D98">
              <w:rPr>
                <w:rFonts w:ascii="Calibri" w:hAnsi="Calibri" w:cs="Calibri"/>
                <w:color w:val="1F4F69"/>
                <w:sz w:val="18"/>
                <w:szCs w:val="18"/>
              </w:rPr>
              <w:t>(Director of Research Capacity Strengthening, APHRC)</w:t>
            </w:r>
            <w:r w:rsidR="00916014" w:rsidRPr="00E90D9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; </w:t>
            </w:r>
            <w:r w:rsidR="00E90D98" w:rsidRPr="00E90D98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Constantine Manda</w:t>
            </w:r>
            <w:r w:rsidR="00E90D98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r w:rsidR="00E90D98">
              <w:rPr>
                <w:rFonts w:ascii="Calibri" w:hAnsi="Calibri" w:cs="Calibri"/>
                <w:bCs/>
                <w:color w:val="1F4F69"/>
                <w:sz w:val="18"/>
                <w:szCs w:val="18"/>
              </w:rPr>
              <w:t>(ESRF and EASST fellow)</w:t>
            </w:r>
            <w:r w:rsidR="00006DAB" w:rsidRPr="2708C82E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Moderated by Carson Christiano, CEGA.</w:t>
            </w:r>
          </w:p>
          <w:p w14:paraId="7080B215" w14:textId="60F11E2F" w:rsidR="00A741DE" w:rsidRPr="00A741DE" w:rsidRDefault="00A741DE" w:rsidP="00A741DE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</w:tc>
      </w:tr>
      <w:tr w:rsidR="00916014" w:rsidRPr="00BF7D1A" w14:paraId="271E0571" w14:textId="77777777" w:rsidTr="005C4A8E">
        <w:trPr>
          <w:trHeight w:val="1188"/>
        </w:trPr>
        <w:tc>
          <w:tcPr>
            <w:tcW w:w="1975" w:type="dxa"/>
          </w:tcPr>
          <w:p w14:paraId="4E8AFE5A" w14:textId="24B9E2A2" w:rsidR="00916014" w:rsidRDefault="00773C9D" w:rsidP="00916014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9:5</w:t>
            </w:r>
            <w:r w:rsidR="003D3CDB">
              <w:rPr>
                <w:rFonts w:ascii="Calibri" w:hAnsi="Calibri" w:cs="Calibri"/>
                <w:sz w:val="20"/>
                <w:szCs w:val="20"/>
              </w:rPr>
              <w:t>5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10:</w:t>
            </w:r>
            <w:r w:rsidR="003D3CDB">
              <w:rPr>
                <w:rFonts w:ascii="Calibri" w:hAnsi="Calibri" w:cs="Calibri"/>
                <w:sz w:val="20"/>
                <w:szCs w:val="20"/>
              </w:rPr>
              <w:t>40</w:t>
            </w:r>
            <w:r w:rsidR="006A41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6014">
              <w:rPr>
                <w:rFonts w:ascii="Calibri" w:hAnsi="Calibri" w:cs="Calibri"/>
                <w:sz w:val="20"/>
                <w:szCs w:val="20"/>
              </w:rPr>
              <w:t>A</w:t>
            </w:r>
            <w:r w:rsidR="00916014" w:rsidRPr="0934484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0" w:type="dxa"/>
            <w:vAlign w:val="center"/>
          </w:tcPr>
          <w:p w14:paraId="07006098" w14:textId="1FDBAB3C" w:rsidR="00916014" w:rsidRDefault="00916014" w:rsidP="00916014">
            <w:pPr>
              <w:rPr>
                <w:rFonts w:ascii="Calibri" w:hAnsi="Calibri" w:cs="Calibri"/>
                <w:sz w:val="20"/>
                <w:szCs w:val="20"/>
              </w:rPr>
            </w:pPr>
            <w:r w:rsidRPr="440F5519">
              <w:rPr>
                <w:rFonts w:ascii="Calibri" w:hAnsi="Calibri" w:cs="Calibri"/>
                <w:b/>
                <w:bCs/>
                <w:sz w:val="20"/>
                <w:szCs w:val="20"/>
              </w:rPr>
              <w:t>Donor Perspectives: Supporting African Impact Evaluation Capacity</w:t>
            </w:r>
            <w:r w:rsidRPr="440F5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44DB10" w14:textId="77777777" w:rsidR="001C5E51" w:rsidRDefault="001C5E51" w:rsidP="0091601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663B0" w14:textId="0989D976" w:rsidR="00916014" w:rsidRDefault="00916014" w:rsidP="00916014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7506D7F3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This panel will invite representatives from various donor organizations to offer their perspectives on supporting IE capacity. </w:t>
            </w:r>
          </w:p>
          <w:p w14:paraId="22AB20D2" w14:textId="77777777" w:rsidR="00916014" w:rsidRDefault="00916014" w:rsidP="00916014">
            <w:pPr>
              <w:pStyle w:val="Body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  <w:p w14:paraId="6D8509AF" w14:textId="15AD0D5F" w:rsidR="00916014" w:rsidRDefault="00916014" w:rsidP="00037D09">
            <w:pPr>
              <w:pStyle w:val="Body"/>
              <w:spacing w:line="276" w:lineRule="auto"/>
              <w:rPr>
                <w:rFonts w:ascii="Calibri" w:hAnsi="Calibri" w:cs="Calibri"/>
                <w:color w:val="1F4F69"/>
                <w:sz w:val="18"/>
                <w:szCs w:val="18"/>
              </w:rPr>
            </w:pP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Panelists: </w:t>
            </w:r>
            <w:r w:rsidR="00037D09" w:rsidRPr="00037D09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Norma Altshuler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Program Officer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, Hewlett Foundation); </w:t>
            </w:r>
            <w:r w:rsidR="00037D09" w:rsidRPr="00037D09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Flaubert Mbiekop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Senior Program Specialist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, </w:t>
            </w:r>
            <w:r w:rsidR="00037D09" w:rsidRPr="00037D09">
              <w:rPr>
                <w:rFonts w:ascii="Calibri" w:hAnsi="Calibri" w:cs="Calibri"/>
                <w:color w:val="1F4F69"/>
                <w:sz w:val="18"/>
                <w:szCs w:val="18"/>
              </w:rPr>
              <w:t>International Development Research Centre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); </w:t>
            </w:r>
            <w:r w:rsidR="00037D09" w:rsidRPr="00037D09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Diva Dhar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Senior Program Officer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>,</w:t>
            </w:r>
            <w:r w:rsidR="00037D09" w:rsidRPr="0761B89C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</w:t>
            </w:r>
            <w:r w:rsidR="00037D09" w:rsidRPr="00037D09">
              <w:rPr>
                <w:rFonts w:ascii="Calibri" w:hAnsi="Calibri" w:cs="Calibri"/>
                <w:bCs/>
                <w:color w:val="1F4F69"/>
                <w:sz w:val="18"/>
                <w:szCs w:val="18"/>
              </w:rPr>
              <w:t>Bill &amp; Melinda Gates Foundation</w:t>
            </w:r>
            <w:r w:rsidRPr="0761B89C">
              <w:rPr>
                <w:rFonts w:ascii="Calibri" w:hAnsi="Calibri" w:cs="Calibri"/>
                <w:color w:val="1F4F69"/>
                <w:sz w:val="18"/>
                <w:szCs w:val="18"/>
              </w:rPr>
              <w:t>)</w:t>
            </w:r>
            <w:r w:rsidR="002A2118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; </w:t>
            </w:r>
            <w:r w:rsidR="00037D09" w:rsidRPr="00037D09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>JPR Ochieng’-Odero</w:t>
            </w:r>
            <w:r w:rsidR="00037D0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 (Team Leader, </w:t>
            </w:r>
            <w:r w:rsidR="00037D09" w:rsidRPr="002A2118">
              <w:rPr>
                <w:rFonts w:ascii="Calibri" w:hAnsi="Calibri" w:cs="Calibri"/>
                <w:b/>
                <w:color w:val="1F4F69"/>
                <w:sz w:val="18"/>
                <w:szCs w:val="18"/>
              </w:rPr>
              <w:t xml:space="preserve"> </w:t>
            </w:r>
            <w:r w:rsidR="00037D09" w:rsidRPr="00037D09">
              <w:rPr>
                <w:rFonts w:ascii="Calibri" w:hAnsi="Calibri" w:cs="Calibri"/>
                <w:color w:val="1F4F69"/>
                <w:sz w:val="18"/>
                <w:szCs w:val="18"/>
              </w:rPr>
              <w:t>DFID’s East Africa Research Fund)</w:t>
            </w:r>
            <w:r w:rsidR="00006DAB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. </w:t>
            </w:r>
            <w:r w:rsidR="00006DAB" w:rsidRPr="7506D7F3"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Moderated by Maya Ranganath, CEGA.</w:t>
            </w:r>
          </w:p>
          <w:p w14:paraId="454C9C89" w14:textId="6AFC0F6A" w:rsidR="00E90D98" w:rsidRPr="00442AA9" w:rsidRDefault="00E90D98" w:rsidP="00037D09">
            <w:pPr>
              <w:pStyle w:val="Body"/>
              <w:spacing w:line="276" w:lineRule="auto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</w:p>
        </w:tc>
      </w:tr>
      <w:tr w:rsidR="00916014" w:rsidRPr="00BF7D1A" w14:paraId="1A0787D4" w14:textId="77777777" w:rsidTr="002B40A7">
        <w:trPr>
          <w:trHeight w:val="366"/>
        </w:trPr>
        <w:tc>
          <w:tcPr>
            <w:tcW w:w="1975" w:type="dxa"/>
            <w:shd w:val="clear" w:color="auto" w:fill="D8D8D8" w:themeFill="background2" w:themeFillTint="99"/>
            <w:vAlign w:val="center"/>
          </w:tcPr>
          <w:p w14:paraId="74664353" w14:textId="5D4A94EB" w:rsidR="00916014" w:rsidRDefault="003C454A" w:rsidP="00916014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</w:t>
            </w:r>
            <w:r w:rsidR="003D3CDB">
              <w:rPr>
                <w:rFonts w:ascii="Calibri" w:hAnsi="Calibri" w:cs="Calibri"/>
                <w:sz w:val="20"/>
                <w:szCs w:val="20"/>
              </w:rPr>
              <w:t>40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 w:rsidR="003D3CDB">
              <w:rPr>
                <w:rFonts w:ascii="Calibri" w:hAnsi="Calibri" w:cs="Calibri"/>
                <w:sz w:val="20"/>
                <w:szCs w:val="20"/>
              </w:rPr>
              <w:t xml:space="preserve">10:55 </w:t>
            </w:r>
            <w:r w:rsidR="00916014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8100" w:type="dxa"/>
            <w:shd w:val="clear" w:color="auto" w:fill="D8D8D8" w:themeFill="background2" w:themeFillTint="99"/>
            <w:vAlign w:val="center"/>
          </w:tcPr>
          <w:p w14:paraId="1231C2B6" w14:textId="7654E50E" w:rsidR="00916014" w:rsidRPr="7506D7F3" w:rsidRDefault="00916014" w:rsidP="00916014">
            <w:pPr>
              <w:spacing w:before="20" w:after="2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382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916014" w:rsidRPr="00BF7D1A" w14:paraId="7B762E00" w14:textId="77777777" w:rsidTr="005C4A8E">
        <w:trPr>
          <w:trHeight w:val="1188"/>
        </w:trPr>
        <w:tc>
          <w:tcPr>
            <w:tcW w:w="1975" w:type="dxa"/>
          </w:tcPr>
          <w:p w14:paraId="3DF38437" w14:textId="28B6A65F" w:rsidR="00916014" w:rsidRPr="440F5519" w:rsidRDefault="00916014" w:rsidP="005C4A8E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10:5</w:t>
            </w:r>
            <w:r w:rsidR="003D3CDB">
              <w:rPr>
                <w:rFonts w:ascii="Calibri" w:hAnsi="Calibri" w:cs="Calibri"/>
                <w:sz w:val="20"/>
                <w:szCs w:val="20"/>
              </w:rPr>
              <w:t>5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 w:rsidR="00E32400">
              <w:rPr>
                <w:rFonts w:ascii="Calibri" w:hAnsi="Calibri" w:cs="Calibri"/>
                <w:sz w:val="20"/>
                <w:szCs w:val="20"/>
              </w:rPr>
              <w:t>11:</w:t>
            </w:r>
            <w:r w:rsidR="005C4A8E">
              <w:rPr>
                <w:rFonts w:ascii="Calibri" w:hAnsi="Calibri" w:cs="Calibri"/>
                <w:sz w:val="20"/>
                <w:szCs w:val="20"/>
              </w:rPr>
              <w:t>30</w:t>
            </w:r>
            <w:r w:rsidRPr="2864A6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tc>
          <w:tcPr>
            <w:tcW w:w="8100" w:type="dxa"/>
            <w:vAlign w:val="center"/>
          </w:tcPr>
          <w:p w14:paraId="4D554536" w14:textId="3C0BE915" w:rsidR="00916014" w:rsidRDefault="00916014" w:rsidP="00916014">
            <w:pPr>
              <w:spacing w:before="20" w:after="2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506D7F3">
              <w:rPr>
                <w:rFonts w:ascii="Calibri" w:hAnsi="Calibri" w:cs="Calibri"/>
                <w:b/>
                <w:bCs/>
                <w:sz w:val="20"/>
                <w:szCs w:val="20"/>
              </w:rPr>
              <w:t>New Research on Education and Employment</w:t>
            </w:r>
          </w:p>
          <w:p w14:paraId="2DD9C215" w14:textId="77777777" w:rsidR="00916014" w:rsidRDefault="00916014" w:rsidP="00916014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4CF724" w14:textId="04125AE1" w:rsidR="00916014" w:rsidRDefault="00916014" w:rsidP="00916014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6BC38192">
              <w:rPr>
                <w:rFonts w:ascii="Calibri" w:hAnsi="Calibri" w:cs="Calibri"/>
                <w:color w:val="1F4F69"/>
                <w:sz w:val="18"/>
                <w:szCs w:val="18"/>
              </w:rPr>
              <w:t>Getting Girls Back in School: The Returns to Alternative Education in Tanzania</w:t>
            </w:r>
            <w:r w:rsidR="00DE58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 (Ketki Sheth, CEGA a</w:t>
            </w:r>
            <w:r w:rsidRPr="6BC38192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ffiliate)</w:t>
            </w:r>
          </w:p>
          <w:p w14:paraId="13A6E4BF" w14:textId="77777777" w:rsidR="00916014" w:rsidRDefault="00916014" w:rsidP="00916014">
            <w:pPr>
              <w:pStyle w:val="Body"/>
              <w:rPr>
                <w:rFonts w:ascii="Calibri" w:hAnsi="Calibri" w:cs="Calibri"/>
                <w:color w:val="1F4F69"/>
                <w:sz w:val="18"/>
                <w:szCs w:val="18"/>
              </w:rPr>
            </w:pPr>
          </w:p>
          <w:p w14:paraId="422408E6" w14:textId="764A55AD" w:rsidR="00916014" w:rsidRPr="00442AA9" w:rsidRDefault="00916014" w:rsidP="00442AA9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2DA66EBB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Meet your Future: Job Search Efforts and Aspirations of Young Jobseekers </w:t>
            </w:r>
            <w:r w:rsidRPr="2DA66EBB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(Livia Alfonsi, UC Berkeley)</w:t>
            </w:r>
          </w:p>
        </w:tc>
      </w:tr>
      <w:tr w:rsidR="00916014" w:rsidRPr="00BF7D1A" w14:paraId="37ACFDA3" w14:textId="77777777" w:rsidTr="005C4A8E">
        <w:trPr>
          <w:trHeight w:val="1887"/>
        </w:trPr>
        <w:tc>
          <w:tcPr>
            <w:tcW w:w="1975" w:type="dxa"/>
          </w:tcPr>
          <w:p w14:paraId="2C39741F" w14:textId="1AA21128" w:rsidR="00916014" w:rsidRDefault="00E32400" w:rsidP="00916014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</w:t>
            </w:r>
            <w:r w:rsidR="005C4A8E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AM—12:</w:t>
            </w:r>
            <w:r w:rsidR="005C4A8E">
              <w:rPr>
                <w:rFonts w:ascii="Calibri" w:hAnsi="Calibri" w:cs="Calibri"/>
                <w:sz w:val="20"/>
                <w:szCs w:val="20"/>
              </w:rPr>
              <w:t>20</w:t>
            </w:r>
            <w:r w:rsidR="00AF69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9160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0" w:type="dxa"/>
          </w:tcPr>
          <w:p w14:paraId="0E3149C8" w14:textId="4ED57A94" w:rsidR="00916014" w:rsidRDefault="00916014" w:rsidP="0091601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New Research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 Health</w:t>
            </w:r>
          </w:p>
          <w:p w14:paraId="6ECC5914" w14:textId="77777777" w:rsidR="00916014" w:rsidRDefault="00916014" w:rsidP="0091601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BFC429" w14:textId="002E1E6A" w:rsidR="00916014" w:rsidRPr="00FA6FE8" w:rsidRDefault="00916014" w:rsidP="00916014">
            <w:pPr>
              <w:pStyle w:val="Body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Impact of an </w:t>
            </w:r>
            <w:r w:rsidR="00406E34">
              <w:rPr>
                <w:rFonts w:ascii="Calibri" w:hAnsi="Calibri" w:cs="Calibri"/>
                <w:color w:val="1F4F69"/>
                <w:sz w:val="18"/>
                <w:szCs w:val="18"/>
              </w:rPr>
              <w:t>In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structional </w:t>
            </w:r>
            <w:r w:rsidR="00406E34">
              <w:rPr>
                <w:rFonts w:ascii="Calibri" w:hAnsi="Calibri" w:cs="Calibri"/>
                <w:color w:val="1F4F69"/>
                <w:sz w:val="18"/>
                <w:szCs w:val="18"/>
              </w:rPr>
              <w:t>Vi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deo for TB </w:t>
            </w:r>
            <w:r w:rsidR="00406E34">
              <w:rPr>
                <w:rFonts w:ascii="Calibri" w:hAnsi="Calibri" w:cs="Calibri"/>
                <w:color w:val="1F4F69"/>
                <w:sz w:val="18"/>
                <w:szCs w:val="18"/>
              </w:rPr>
              <w:t>C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ase </w:t>
            </w:r>
            <w:r w:rsidR="00406E34">
              <w:rPr>
                <w:rFonts w:ascii="Calibri" w:hAnsi="Calibri" w:cs="Calibri"/>
                <w:color w:val="1F4F69"/>
                <w:sz w:val="18"/>
                <w:szCs w:val="18"/>
              </w:rPr>
              <w:t>D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etection in Tanzania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 xml:space="preserve">(Grace Mhalu, EASST fellow; Rain Mocello, UC </w:t>
            </w:r>
            <w:r w:rsidR="00DE58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Berkeley, Marcella Alsan, CEGA a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ffiliate)</w:t>
            </w:r>
          </w:p>
          <w:p w14:paraId="5A3E4F07" w14:textId="77777777" w:rsidR="00916014" w:rsidRDefault="00916014" w:rsidP="0091601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</w:p>
          <w:p w14:paraId="33289A1C" w14:textId="6A666C01" w:rsidR="00916014" w:rsidRPr="71A78D6B" w:rsidRDefault="00916014" w:rsidP="00442AA9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Using Observational Data Analysis to Understand the Impact of TB Treatments 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(Werner Maokola, EA</w:t>
            </w:r>
            <w:r w:rsidR="00DE584F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SST fellow; Chad Hazlett, CEGA a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ffiliate; David Ami Wulf, UCLA)</w:t>
            </w:r>
          </w:p>
        </w:tc>
      </w:tr>
      <w:tr w:rsidR="00916014" w:rsidRPr="00BF7D1A" w14:paraId="693C2DB2" w14:textId="77777777" w:rsidTr="002B40A7">
        <w:trPr>
          <w:trHeight w:val="348"/>
        </w:trPr>
        <w:tc>
          <w:tcPr>
            <w:tcW w:w="1975" w:type="dxa"/>
            <w:shd w:val="clear" w:color="auto" w:fill="D8D8D8" w:themeFill="background2" w:themeFillTint="99"/>
            <w:vAlign w:val="center"/>
          </w:tcPr>
          <w:p w14:paraId="328123C7" w14:textId="4A1E1453" w:rsidR="00916014" w:rsidRDefault="00E32400" w:rsidP="00916014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5C4A8E">
              <w:rPr>
                <w:rFonts w:ascii="Calibri" w:hAnsi="Calibri" w:cs="Calibri"/>
                <w:sz w:val="20"/>
                <w:szCs w:val="20"/>
              </w:rPr>
              <w:t>20</w:t>
            </w:r>
            <w:r w:rsidR="004A193B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1:</w:t>
            </w:r>
            <w:r w:rsidR="005C4A8E">
              <w:rPr>
                <w:rFonts w:ascii="Calibri" w:hAnsi="Calibri" w:cs="Calibri"/>
                <w:sz w:val="20"/>
                <w:szCs w:val="20"/>
              </w:rPr>
              <w:t>40</w:t>
            </w:r>
            <w:r w:rsidR="004A19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9160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0" w:type="dxa"/>
            <w:shd w:val="clear" w:color="auto" w:fill="D8D8D8" w:themeFill="background2" w:themeFillTint="99"/>
            <w:vAlign w:val="center"/>
          </w:tcPr>
          <w:p w14:paraId="160BB2DD" w14:textId="77777777" w:rsidR="00916014" w:rsidRDefault="00E32400" w:rsidP="00916014">
            <w:pPr>
              <w:pStyle w:val="Body"/>
              <w:spacing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A382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Lunch</w:t>
            </w:r>
          </w:p>
          <w:p w14:paraId="1F465BCB" w14:textId="023AEEC2" w:rsidR="00F90231" w:rsidRPr="71A78D6B" w:rsidRDefault="00F90231" w:rsidP="00916014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OPTIONAL: Q&amp;A for</w:t>
            </w:r>
            <w:r w:rsidRPr="008D1EC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Prospective EASST fellows</w:t>
            </w:r>
            <w:r w:rsidRPr="008D1EC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from 12:</w:t>
            </w:r>
            <w:r w:rsidR="005C4A8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to 12:</w:t>
            </w:r>
            <w:r w:rsidR="005C4A8E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35 PM</w:t>
            </w:r>
            <w:r w:rsidRPr="008D1EC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in main room)</w:t>
            </w:r>
          </w:p>
        </w:tc>
      </w:tr>
    </w:tbl>
    <w:p w14:paraId="0425716F" w14:textId="77777777" w:rsidR="00442AA9" w:rsidRDefault="00442AA9">
      <w:r>
        <w:br w:type="page"/>
      </w:r>
    </w:p>
    <w:tbl>
      <w:tblPr>
        <w:tblStyle w:val="TableGrid"/>
        <w:tblpPr w:leftFromText="180" w:rightFromText="180" w:vertAnchor="page" w:horzAnchor="margin" w:tblpXSpec="center" w:tblpY="1461"/>
        <w:tblW w:w="10075" w:type="dxa"/>
        <w:tblLook w:val="04A0" w:firstRow="1" w:lastRow="0" w:firstColumn="1" w:lastColumn="0" w:noHBand="0" w:noVBand="1"/>
      </w:tblPr>
      <w:tblGrid>
        <w:gridCol w:w="1975"/>
        <w:gridCol w:w="3960"/>
        <w:gridCol w:w="4140"/>
      </w:tblGrid>
      <w:tr w:rsidR="007C62AE" w:rsidRPr="00BF7D1A" w14:paraId="55185AED" w14:textId="77777777" w:rsidTr="005C4A8E">
        <w:trPr>
          <w:trHeight w:val="619"/>
        </w:trPr>
        <w:tc>
          <w:tcPr>
            <w:tcW w:w="1975" w:type="dxa"/>
          </w:tcPr>
          <w:p w14:paraId="076E8769" w14:textId="66E54218" w:rsidR="007C62AE" w:rsidRDefault="00AD4FF4" w:rsidP="007C62A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1:</w:t>
            </w:r>
            <w:r w:rsidR="008A4A27">
              <w:rPr>
                <w:rFonts w:ascii="Calibri" w:hAnsi="Calibri" w:cs="Calibri"/>
                <w:sz w:val="20"/>
                <w:szCs w:val="20"/>
              </w:rPr>
              <w:t>4</w:t>
            </w:r>
            <w:r w:rsidR="00A579C5">
              <w:rPr>
                <w:rFonts w:ascii="Calibri" w:hAnsi="Calibri" w:cs="Calibri"/>
                <w:sz w:val="20"/>
                <w:szCs w:val="20"/>
              </w:rPr>
              <w:t>0—</w:t>
            </w:r>
            <w:r w:rsidR="001C5E51">
              <w:rPr>
                <w:rFonts w:ascii="Calibri" w:hAnsi="Calibri" w:cs="Calibri"/>
                <w:sz w:val="20"/>
                <w:szCs w:val="20"/>
              </w:rPr>
              <w:t>2:</w:t>
            </w:r>
            <w:r w:rsidR="008A4A27">
              <w:rPr>
                <w:rFonts w:ascii="Calibri" w:hAnsi="Calibri" w:cs="Calibri"/>
                <w:sz w:val="20"/>
                <w:szCs w:val="20"/>
              </w:rPr>
              <w:t>4</w:t>
            </w:r>
            <w:r w:rsidR="00A579C5"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 w:rsidR="007C62AE">
              <w:rPr>
                <w:rFonts w:ascii="Calibri" w:hAnsi="Calibri" w:cs="Calibri"/>
                <w:sz w:val="20"/>
                <w:szCs w:val="20"/>
              </w:rPr>
              <w:t>P</w:t>
            </w:r>
            <w:r w:rsidR="007C62AE" w:rsidRPr="440F5519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0" w:type="dxa"/>
            <w:gridSpan w:val="2"/>
          </w:tcPr>
          <w:p w14:paraId="6BFC0E19" w14:textId="77777777" w:rsidR="001C5E51" w:rsidRDefault="001C5E51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  <w:r w:rsidRPr="71A78D6B">
              <w:rPr>
                <w:rFonts w:ascii="Calibri" w:hAnsi="Calibri" w:cs="Calibri"/>
                <w:b/>
                <w:bCs/>
                <w:sz w:val="20"/>
                <w:szCs w:val="20"/>
              </w:rPr>
              <w:t>w Research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on Economic Development and Political Economy</w:t>
            </w:r>
          </w:p>
          <w:p w14:paraId="3FB5CD6B" w14:textId="77777777" w:rsidR="001C5E51" w:rsidRDefault="001C5E51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C9650EC" w14:textId="77777777" w:rsidR="001C5E51" w:rsidRPr="007C62AE" w:rsidRDefault="001C5E51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>
              <w:rPr>
                <w:rFonts w:ascii="Calibri" w:hAnsi="Calibri" w:cs="Calibri"/>
                <w:color w:val="1F4F69"/>
                <w:sz w:val="18"/>
                <w:szCs w:val="18"/>
              </w:rPr>
              <w:t>The Effect of Labeling and Modern Depositing Mechanisms on Savings B</w:t>
            </w:r>
            <w:r w:rsidRPr="440F5519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ehaviour in Ethiopia </w:t>
            </w:r>
            <w:r w:rsidRPr="440F5519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(Tewodros Tesemma, EASST fellow)</w:t>
            </w:r>
          </w:p>
          <w:p w14:paraId="6DAB3969" w14:textId="77777777" w:rsidR="001C5E51" w:rsidRDefault="001C5E51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40D81908" w14:textId="2B7D6A38" w:rsidR="001C5E51" w:rsidRDefault="001C5E51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41B5F916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The Cost of Political Alignment on the Quality of Public Services: Evidence from Kenya </w:t>
            </w:r>
            <w:r w:rsidRPr="41B5F916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(Michael Mbate, EASST fellow)</w:t>
            </w:r>
          </w:p>
          <w:p w14:paraId="0560B758" w14:textId="77777777" w:rsidR="00442AA9" w:rsidRDefault="00442AA9" w:rsidP="001C5E51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</w:p>
          <w:p w14:paraId="364D7899" w14:textId="76BEBCD6" w:rsidR="00B114F5" w:rsidRPr="004A193B" w:rsidRDefault="001C5E51" w:rsidP="007C62AE">
            <w:pPr>
              <w:pStyle w:val="Body"/>
              <w:spacing w:line="276" w:lineRule="auto"/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</w:pPr>
            <w:r w:rsidRPr="09344840">
              <w:rPr>
                <w:rFonts w:ascii="Calibri" w:hAnsi="Calibri" w:cs="Calibri"/>
                <w:color w:val="1F4F69"/>
                <w:sz w:val="18"/>
                <w:szCs w:val="18"/>
              </w:rPr>
              <w:t xml:space="preserve">Using iBeacons to Track the Distribution of Fertilizer in Kenya </w:t>
            </w:r>
            <w:r w:rsidRPr="09344840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(Muthon</w:t>
            </w:r>
            <w:r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i Ng’ang’a, EASST fellow; Jennifer Hamilton, UCLA</w:t>
            </w:r>
            <w:r w:rsidRPr="09344840">
              <w:rPr>
                <w:rFonts w:ascii="Calibri" w:hAnsi="Calibri" w:cs="Calibri"/>
                <w:b/>
                <w:bCs/>
                <w:color w:val="1F4F69"/>
                <w:sz w:val="18"/>
                <w:szCs w:val="18"/>
              </w:rPr>
              <w:t>)</w:t>
            </w:r>
          </w:p>
        </w:tc>
      </w:tr>
      <w:tr w:rsidR="000B6F4E" w14:paraId="2481B0D9" w14:textId="77777777" w:rsidTr="002B40A7">
        <w:trPr>
          <w:trHeight w:val="404"/>
        </w:trPr>
        <w:tc>
          <w:tcPr>
            <w:tcW w:w="1975" w:type="dxa"/>
            <w:vAlign w:val="center"/>
          </w:tcPr>
          <w:p w14:paraId="157442C4" w14:textId="22029E6C" w:rsidR="000B6F4E" w:rsidRDefault="000B6F4E" w:rsidP="000B6F4E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</w:t>
            </w:r>
            <w:r w:rsidR="008A4A27">
              <w:rPr>
                <w:rFonts w:ascii="Calibri" w:hAnsi="Calibri" w:cs="Calibri"/>
                <w:sz w:val="20"/>
                <w:szCs w:val="20"/>
              </w:rPr>
              <w:t>4</w:t>
            </w:r>
            <w:r w:rsidR="00A579C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-2:</w:t>
            </w:r>
            <w:r w:rsidR="008A4A27">
              <w:rPr>
                <w:rFonts w:ascii="Calibri" w:hAnsi="Calibri" w:cs="Calibri"/>
                <w:sz w:val="20"/>
                <w:szCs w:val="20"/>
              </w:rPr>
              <w:t>4</w:t>
            </w:r>
            <w:r w:rsidR="00A579C5">
              <w:rPr>
                <w:rFonts w:ascii="Calibri" w:hAnsi="Calibri" w:cs="Calibri"/>
                <w:sz w:val="20"/>
                <w:szCs w:val="20"/>
              </w:rPr>
              <w:t>5</w:t>
            </w:r>
            <w:r w:rsidR="008A4A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440F5519">
              <w:rPr>
                <w:rFonts w:ascii="Calibri" w:hAnsi="Calibri" w:cs="Calibri"/>
                <w:sz w:val="20"/>
                <w:szCs w:val="20"/>
              </w:rPr>
              <w:t>PM</w:t>
            </w:r>
          </w:p>
        </w:tc>
        <w:tc>
          <w:tcPr>
            <w:tcW w:w="8100" w:type="dxa"/>
            <w:gridSpan w:val="2"/>
          </w:tcPr>
          <w:p w14:paraId="283215F9" w14:textId="1EE666FE" w:rsidR="000B6F4E" w:rsidRPr="00E37601" w:rsidRDefault="000B6F4E" w:rsidP="000B6F4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699CDA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Closing Remarks </w:t>
            </w:r>
            <w:r w:rsidR="003A382B" w:rsidRPr="003A382B">
              <w:rPr>
                <w:rFonts w:ascii="Calibri" w:hAnsi="Calibri" w:cs="Calibri"/>
                <w:bCs/>
                <w:i/>
                <w:sz w:val="20"/>
                <w:szCs w:val="20"/>
              </w:rPr>
              <w:t>(A</w:t>
            </w:r>
            <w:r w:rsidR="00E37601" w:rsidRPr="003A382B">
              <w:rPr>
                <w:rFonts w:ascii="Calibri" w:hAnsi="Calibri" w:cs="Calibri"/>
                <w:bCs/>
                <w:i/>
                <w:sz w:val="20"/>
                <w:szCs w:val="20"/>
              </w:rPr>
              <w:t>pollo</w:t>
            </w:r>
            <w:r w:rsidR="00E37601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Maima, EASST Fellow) </w:t>
            </w:r>
          </w:p>
        </w:tc>
      </w:tr>
      <w:tr w:rsidR="000B6F4E" w14:paraId="6974F9AD" w14:textId="77777777" w:rsidTr="002B40A7">
        <w:trPr>
          <w:trHeight w:val="404"/>
        </w:trPr>
        <w:tc>
          <w:tcPr>
            <w:tcW w:w="10075" w:type="dxa"/>
            <w:gridSpan w:val="3"/>
            <w:shd w:val="clear" w:color="auto" w:fill="F2F2F2" w:themeFill="background2" w:themeFillTint="33"/>
            <w:vAlign w:val="center"/>
          </w:tcPr>
          <w:p w14:paraId="69F14F1D" w14:textId="29E63702" w:rsidR="000B6F4E" w:rsidRDefault="000B6F4E" w:rsidP="000B6F4E">
            <w:pPr>
              <w:jc w:val="center"/>
              <w:rPr>
                <w:rFonts w:ascii="Calibri" w:hAnsi="Calibri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0B6F4E" w:rsidRPr="00BF7D1A" w14:paraId="2C016544" w14:textId="77777777" w:rsidTr="005C4A8E">
        <w:trPr>
          <w:trHeight w:val="2778"/>
        </w:trPr>
        <w:tc>
          <w:tcPr>
            <w:tcW w:w="1975" w:type="dxa"/>
            <w:shd w:val="clear" w:color="auto" w:fill="auto"/>
          </w:tcPr>
          <w:p w14:paraId="1E6A41F0" w14:textId="2F060FE9" w:rsidR="000B6F4E" w:rsidRPr="00BF7D1A" w:rsidRDefault="000B6F4E" w:rsidP="000B6F4E">
            <w:pPr>
              <w:spacing w:before="20" w:after="2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7C707F10">
              <w:rPr>
                <w:rFonts w:ascii="Calibri" w:hAnsi="Calibri" w:cs="Calibri"/>
                <w:sz w:val="20"/>
                <w:szCs w:val="20"/>
              </w:rPr>
              <w:t>3:</w:t>
            </w:r>
            <w:r w:rsidR="008A4A27">
              <w:rPr>
                <w:rFonts w:ascii="Calibri" w:hAnsi="Calibri" w:cs="Calibri"/>
                <w:sz w:val="20"/>
                <w:szCs w:val="20"/>
              </w:rPr>
              <w:t>0</w:t>
            </w:r>
            <w:r w:rsidR="00A579C5">
              <w:rPr>
                <w:rFonts w:ascii="Calibri" w:hAnsi="Calibri" w:cs="Calibri"/>
                <w:sz w:val="20"/>
                <w:szCs w:val="20"/>
              </w:rPr>
              <w:t>0</w:t>
            </w:r>
            <w:r w:rsidRPr="7C707F10">
              <w:rPr>
                <w:rFonts w:ascii="Calibri" w:hAnsi="Calibri" w:cs="Calibri"/>
                <w:sz w:val="20"/>
                <w:szCs w:val="20"/>
              </w:rPr>
              <w:t>–5:</w:t>
            </w:r>
            <w:r w:rsidR="008A4A27">
              <w:rPr>
                <w:rFonts w:ascii="Calibri" w:hAnsi="Calibri" w:cs="Calibri"/>
                <w:sz w:val="20"/>
                <w:szCs w:val="20"/>
              </w:rPr>
              <w:t>3</w:t>
            </w:r>
            <w:r w:rsidR="00A579C5">
              <w:rPr>
                <w:rFonts w:ascii="Calibri" w:hAnsi="Calibri" w:cs="Calibri"/>
                <w:sz w:val="20"/>
                <w:szCs w:val="20"/>
              </w:rPr>
              <w:t>0</w:t>
            </w:r>
            <w:r w:rsidRPr="7C707F10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</w:tc>
        <w:tc>
          <w:tcPr>
            <w:tcW w:w="3960" w:type="dxa"/>
            <w:shd w:val="clear" w:color="auto" w:fill="auto"/>
          </w:tcPr>
          <w:p w14:paraId="1F799843" w14:textId="72FF985A" w:rsidR="000B6F4E" w:rsidRDefault="000B6F4E" w:rsidP="000B6F4E">
            <w:pPr>
              <w:spacing w:before="20" w:after="2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OPTIONAL SESSION: RSVP REQUIRED</w:t>
            </w:r>
          </w:p>
          <w:p w14:paraId="7DDD4748" w14:textId="2CADFC27" w:rsidR="000B6F4E" w:rsidRDefault="000B6F4E" w:rsidP="000B6F4E">
            <w:pPr>
              <w:spacing w:before="20" w:after="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CFBDDF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Research Transparency Training, led by </w:t>
            </w:r>
            <w:r w:rsidRPr="6CFBDDF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Soazic Elise Wang Sonne</w:t>
            </w:r>
          </w:p>
          <w:p w14:paraId="16D3160A" w14:textId="35939743" w:rsidR="000B6F4E" w:rsidRPr="001106F8" w:rsidRDefault="000B6F4E" w:rsidP="000B6F4E">
            <w:pPr>
              <w:spacing w:before="20" w:after="20"/>
              <w:rPr>
                <w:rFonts w:ascii="Calibri" w:hAnsi="Calibri" w:cs="Calibri"/>
                <w:i/>
                <w:iCs/>
                <w:color w:val="1F4F69"/>
                <w:sz w:val="18"/>
                <w:szCs w:val="18"/>
              </w:rPr>
            </w:pPr>
            <w:r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  <w:shd w:val="clear" w:color="auto" w:fill="FFFFFF"/>
              </w:rPr>
              <w:t>This workshop</w:t>
            </w:r>
            <w:r w:rsidRPr="6CFBDDF8"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</w:rPr>
              <w:t xml:space="preserve"> will introduce junior researchers, research practitioners, and policy analysts to the “open science toolkit.” Participants will learn about and discuss the open science movement, the benefits and how-to’s of pre-registration, pre-analysis plans, and other tools for a reproducible and transparent research workflow.</w:t>
            </w:r>
          </w:p>
        </w:tc>
        <w:tc>
          <w:tcPr>
            <w:tcW w:w="4140" w:type="dxa"/>
            <w:shd w:val="clear" w:color="auto" w:fill="auto"/>
          </w:tcPr>
          <w:p w14:paraId="3C2C7893" w14:textId="13CD3CD6" w:rsidR="000B6F4E" w:rsidRPr="001106F8" w:rsidRDefault="000B6F4E" w:rsidP="000B6F4E">
            <w:pPr>
              <w:spacing w:before="20" w:after="2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OPTIONAL </w:t>
            </w:r>
            <w:r w:rsidRPr="2DA66EB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SESSION: INVITE ONLY</w:t>
            </w:r>
          </w:p>
          <w:p w14:paraId="111A7858" w14:textId="206F05AC" w:rsidR="000B6F4E" w:rsidRPr="00867B3E" w:rsidRDefault="000B6F4E" w:rsidP="000B6F4E">
            <w:pPr>
              <w:pStyle w:val="Body"/>
              <w:spacing w:before="20" w:after="20" w:line="27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867B3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Policy Opportunity Matchmaking Workshop, facilitated by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Innovations for Poverty Action</w:t>
            </w:r>
          </w:p>
          <w:p w14:paraId="54021DE8" w14:textId="13E11088" w:rsidR="000B6F4E" w:rsidRPr="001106F8" w:rsidRDefault="000B6F4E" w:rsidP="005C4A8E">
            <w:pPr>
              <w:pStyle w:val="Body"/>
              <w:spacing w:before="20" w:after="2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1F4F69"/>
                <w:sz w:val="18"/>
                <w:szCs w:val="18"/>
                <w:shd w:val="clear" w:color="auto" w:fill="FFFFFF"/>
              </w:rPr>
              <w:t>This workshop will bring together EASST fellows, CEGA affiliates, policy makers, and partner organizations. It will aim to start new scale-up and impact evaluation consulting opportunities that will be partially funded by EASST through its “Policy Engagement Grant” program.</w:t>
            </w:r>
          </w:p>
          <w:p w14:paraId="09C907E0" w14:textId="2CF1FB41" w:rsidR="000B6F4E" w:rsidRDefault="000B6F4E" w:rsidP="000B6F4E">
            <w:pPr>
              <w:spacing w:before="20" w:after="20" w:line="259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03FD600" w14:textId="77777777" w:rsidR="000B6F4E" w:rsidRDefault="000B6F4E" w:rsidP="000B6F4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B6F4E" w:rsidRPr="00BF7D1A" w14:paraId="7AFA9919" w14:textId="77777777" w:rsidTr="002B40A7">
        <w:trPr>
          <w:trHeight w:val="430"/>
        </w:trPr>
        <w:tc>
          <w:tcPr>
            <w:tcW w:w="1975" w:type="dxa"/>
            <w:shd w:val="clear" w:color="auto" w:fill="D8D8D8" w:themeFill="background2" w:themeFillTint="99"/>
            <w:vAlign w:val="center"/>
          </w:tcPr>
          <w:p w14:paraId="4C969C13" w14:textId="30146A5F" w:rsidR="000B6F4E" w:rsidRPr="001106F8" w:rsidRDefault="000B6F4E" w:rsidP="000B6F4E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7C707F10">
              <w:rPr>
                <w:rFonts w:ascii="Calibri" w:hAnsi="Calibri" w:cs="Calibri"/>
                <w:sz w:val="20"/>
                <w:szCs w:val="20"/>
              </w:rPr>
              <w:t>5: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5C4A8E">
              <w:rPr>
                <w:rFonts w:ascii="Calibri" w:hAnsi="Calibri" w:cs="Calibri"/>
                <w:sz w:val="20"/>
                <w:szCs w:val="20"/>
              </w:rPr>
              <w:t>–7:3</w:t>
            </w:r>
            <w:r w:rsidRPr="7C707F10">
              <w:rPr>
                <w:rFonts w:ascii="Calibri" w:hAnsi="Calibri" w:cs="Calibri"/>
                <w:sz w:val="20"/>
                <w:szCs w:val="20"/>
              </w:rPr>
              <w:t>0 PM</w:t>
            </w:r>
          </w:p>
        </w:tc>
        <w:tc>
          <w:tcPr>
            <w:tcW w:w="8100" w:type="dxa"/>
            <w:gridSpan w:val="2"/>
            <w:shd w:val="clear" w:color="auto" w:fill="D8D8D8" w:themeFill="background2" w:themeFillTint="99"/>
            <w:vAlign w:val="center"/>
          </w:tcPr>
          <w:p w14:paraId="48EE59DF" w14:textId="61D6CFE0" w:rsidR="000B6F4E" w:rsidRPr="002E3C6F" w:rsidRDefault="000B6F4E" w:rsidP="000B6F4E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E3C6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Cocktail Reception</w:t>
            </w:r>
            <w:r w:rsidR="005C4A8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on Terrace</w:t>
            </w:r>
          </w:p>
        </w:tc>
      </w:tr>
    </w:tbl>
    <w:p w14:paraId="494CDBC5" w14:textId="77777777" w:rsidR="0066182F" w:rsidRDefault="0066182F" w:rsidP="00B80C06">
      <w:pPr>
        <w:pStyle w:val="Body"/>
        <w:spacing w:line="276" w:lineRule="auto"/>
        <w:rPr>
          <w:rFonts w:ascii="Calibri" w:hAnsi="Calibri" w:cs="Calibri"/>
          <w:b/>
          <w:bCs/>
          <w:color w:val="5F5F5F" w:themeColor="background2" w:themeShade="7F"/>
        </w:rPr>
      </w:pPr>
    </w:p>
    <w:p w14:paraId="4D539A0D" w14:textId="77777777" w:rsidR="006425A2" w:rsidRPr="00BF7D1A" w:rsidRDefault="006425A2" w:rsidP="0006372A">
      <w:pPr>
        <w:pStyle w:val="Body"/>
        <w:spacing w:line="276" w:lineRule="auto"/>
        <w:rPr>
          <w:rFonts w:ascii="Calibri" w:eastAsia="Arial" w:hAnsi="Calibri" w:cs="Calibri"/>
          <w:i/>
          <w:iCs/>
          <w:color w:val="1F4F69" w:themeColor="accent1" w:themeShade="80"/>
          <w:sz w:val="24"/>
          <w:szCs w:val="24"/>
        </w:rPr>
      </w:pPr>
    </w:p>
    <w:sectPr w:rsidR="006425A2" w:rsidRPr="00BF7D1A" w:rsidSect="00F86445">
      <w:headerReference w:type="default" r:id="rId21"/>
      <w:pgSz w:w="12240" w:h="15840"/>
      <w:pgMar w:top="1170" w:right="720" w:bottom="994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C984" w14:textId="77777777" w:rsidR="00427FD3" w:rsidRDefault="00427FD3" w:rsidP="00EA510E">
      <w:r>
        <w:separator/>
      </w:r>
    </w:p>
  </w:endnote>
  <w:endnote w:type="continuationSeparator" w:id="0">
    <w:p w14:paraId="19AE1014" w14:textId="77777777" w:rsidR="00427FD3" w:rsidRDefault="00427FD3" w:rsidP="00E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16D1" w14:textId="77777777" w:rsidR="00427FD3" w:rsidRDefault="00427FD3" w:rsidP="00EA510E">
      <w:r>
        <w:separator/>
      </w:r>
    </w:p>
  </w:footnote>
  <w:footnote w:type="continuationSeparator" w:id="0">
    <w:p w14:paraId="1F6E808E" w14:textId="77777777" w:rsidR="00427FD3" w:rsidRDefault="00427FD3" w:rsidP="00EA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81C7" w14:textId="56023B62" w:rsidR="001127E0" w:rsidRDefault="00EA510E" w:rsidP="00543A03">
    <w:pPr>
      <w:pStyle w:val="Header"/>
      <w:ind w:left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D98E4" wp14:editId="0ADE29C2">
          <wp:simplePos x="0" y="0"/>
          <wp:positionH relativeFrom="column">
            <wp:posOffset>-63500</wp:posOffset>
          </wp:positionH>
          <wp:positionV relativeFrom="paragraph">
            <wp:posOffset>-234950</wp:posOffset>
          </wp:positionV>
          <wp:extent cx="1581785" cy="539115"/>
          <wp:effectExtent l="0" t="0" r="0" b="0"/>
          <wp:wrapTight wrapText="bothSides">
            <wp:wrapPolygon edited="0">
              <wp:start x="0" y="0"/>
              <wp:lineTo x="0" y="20608"/>
              <wp:lineTo x="21331" y="20608"/>
              <wp:lineTo x="213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GA_logo CMYK-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97" t="22221" r="9954" b="23139"/>
                  <a:stretch/>
                </pic:blipFill>
                <pic:spPr bwMode="auto">
                  <a:xfrm>
                    <a:off x="0" y="0"/>
                    <a:ext cx="158178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E0">
      <w:tab/>
    </w:r>
    <w:r w:rsidR="001127E0">
      <w:tab/>
    </w:r>
    <w:r w:rsidR="001127E0">
      <w:rPr>
        <w:noProof/>
      </w:rPr>
      <w:t xml:space="preserve">     </w:t>
    </w:r>
  </w:p>
  <w:p w14:paraId="04757AEE" w14:textId="15335098" w:rsidR="00875BFF" w:rsidRDefault="00875BFF" w:rsidP="00EA510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FD3"/>
    <w:multiLevelType w:val="hybridMultilevel"/>
    <w:tmpl w:val="83B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DE1"/>
    <w:multiLevelType w:val="hybridMultilevel"/>
    <w:tmpl w:val="3F7260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5F5F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478"/>
    <w:multiLevelType w:val="hybridMultilevel"/>
    <w:tmpl w:val="EA2C4D18"/>
    <w:lvl w:ilvl="0" w:tplc="0F8E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0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7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F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6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1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2C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3E6"/>
    <w:multiLevelType w:val="hybridMultilevel"/>
    <w:tmpl w:val="065EB9D4"/>
    <w:lvl w:ilvl="0" w:tplc="98D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8F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43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25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84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C8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AFE"/>
    <w:multiLevelType w:val="hybridMultilevel"/>
    <w:tmpl w:val="62304318"/>
    <w:lvl w:ilvl="0" w:tplc="444A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A7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E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D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EB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6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585"/>
    <w:multiLevelType w:val="hybridMultilevel"/>
    <w:tmpl w:val="49F6EEBA"/>
    <w:lvl w:ilvl="0" w:tplc="EE909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382"/>
    <w:multiLevelType w:val="hybridMultilevel"/>
    <w:tmpl w:val="E3561D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7F9"/>
    <w:multiLevelType w:val="hybridMultilevel"/>
    <w:tmpl w:val="16A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5ED6"/>
    <w:multiLevelType w:val="hybridMultilevel"/>
    <w:tmpl w:val="196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4"/>
    <w:rsid w:val="00006DAB"/>
    <w:rsid w:val="00026DB7"/>
    <w:rsid w:val="00037D09"/>
    <w:rsid w:val="00044B31"/>
    <w:rsid w:val="00045B58"/>
    <w:rsid w:val="0006372A"/>
    <w:rsid w:val="00064D45"/>
    <w:rsid w:val="000656CE"/>
    <w:rsid w:val="00071BC0"/>
    <w:rsid w:val="00072335"/>
    <w:rsid w:val="00073986"/>
    <w:rsid w:val="00075E54"/>
    <w:rsid w:val="000A0275"/>
    <w:rsid w:val="000A1472"/>
    <w:rsid w:val="000A1B9A"/>
    <w:rsid w:val="000A6288"/>
    <w:rsid w:val="000B4BC6"/>
    <w:rsid w:val="000B6F4E"/>
    <w:rsid w:val="000B7CA5"/>
    <w:rsid w:val="000C0F6D"/>
    <w:rsid w:val="000C3AB6"/>
    <w:rsid w:val="000D2878"/>
    <w:rsid w:val="000D4C6D"/>
    <w:rsid w:val="000D73F7"/>
    <w:rsid w:val="000E0875"/>
    <w:rsid w:val="000E1AE7"/>
    <w:rsid w:val="000E5F28"/>
    <w:rsid w:val="0010226F"/>
    <w:rsid w:val="0010238A"/>
    <w:rsid w:val="00110466"/>
    <w:rsid w:val="001106F8"/>
    <w:rsid w:val="001127E0"/>
    <w:rsid w:val="00114258"/>
    <w:rsid w:val="00114664"/>
    <w:rsid w:val="0012323F"/>
    <w:rsid w:val="00123855"/>
    <w:rsid w:val="001246E3"/>
    <w:rsid w:val="00127D30"/>
    <w:rsid w:val="00127DF7"/>
    <w:rsid w:val="00131A1F"/>
    <w:rsid w:val="00134770"/>
    <w:rsid w:val="00140943"/>
    <w:rsid w:val="00147764"/>
    <w:rsid w:val="00156007"/>
    <w:rsid w:val="00170DA9"/>
    <w:rsid w:val="00182B56"/>
    <w:rsid w:val="00187B2B"/>
    <w:rsid w:val="00187D76"/>
    <w:rsid w:val="00192F11"/>
    <w:rsid w:val="00193BD4"/>
    <w:rsid w:val="001A6D33"/>
    <w:rsid w:val="001B67BA"/>
    <w:rsid w:val="001C1B26"/>
    <w:rsid w:val="001C5E51"/>
    <w:rsid w:val="001F7F1D"/>
    <w:rsid w:val="0020387D"/>
    <w:rsid w:val="00211AA5"/>
    <w:rsid w:val="00213AEE"/>
    <w:rsid w:val="002150A0"/>
    <w:rsid w:val="00234E0D"/>
    <w:rsid w:val="00240B11"/>
    <w:rsid w:val="0024211C"/>
    <w:rsid w:val="00256E39"/>
    <w:rsid w:val="002576CD"/>
    <w:rsid w:val="00266582"/>
    <w:rsid w:val="002775C9"/>
    <w:rsid w:val="002779E1"/>
    <w:rsid w:val="00292073"/>
    <w:rsid w:val="00294228"/>
    <w:rsid w:val="002A2118"/>
    <w:rsid w:val="002A4BCD"/>
    <w:rsid w:val="002A6CF8"/>
    <w:rsid w:val="002B2401"/>
    <w:rsid w:val="002B40A7"/>
    <w:rsid w:val="002B5C58"/>
    <w:rsid w:val="002C32B5"/>
    <w:rsid w:val="002C335D"/>
    <w:rsid w:val="002C35B8"/>
    <w:rsid w:val="002C4417"/>
    <w:rsid w:val="002E3C6F"/>
    <w:rsid w:val="002F2885"/>
    <w:rsid w:val="003044AD"/>
    <w:rsid w:val="00306623"/>
    <w:rsid w:val="00307377"/>
    <w:rsid w:val="00310D33"/>
    <w:rsid w:val="003208FD"/>
    <w:rsid w:val="00327E8C"/>
    <w:rsid w:val="00342FA7"/>
    <w:rsid w:val="00344023"/>
    <w:rsid w:val="00347503"/>
    <w:rsid w:val="003525A1"/>
    <w:rsid w:val="0035275B"/>
    <w:rsid w:val="00352C2B"/>
    <w:rsid w:val="00356CC4"/>
    <w:rsid w:val="00357798"/>
    <w:rsid w:val="00370108"/>
    <w:rsid w:val="00370ADF"/>
    <w:rsid w:val="00371E29"/>
    <w:rsid w:val="00374552"/>
    <w:rsid w:val="00375A95"/>
    <w:rsid w:val="003932C2"/>
    <w:rsid w:val="003969A9"/>
    <w:rsid w:val="00397486"/>
    <w:rsid w:val="00397D0D"/>
    <w:rsid w:val="003A06B2"/>
    <w:rsid w:val="003A382B"/>
    <w:rsid w:val="003B1079"/>
    <w:rsid w:val="003C169F"/>
    <w:rsid w:val="003C454A"/>
    <w:rsid w:val="003D1777"/>
    <w:rsid w:val="003D3801"/>
    <w:rsid w:val="003D3CDB"/>
    <w:rsid w:val="003D6CF8"/>
    <w:rsid w:val="003E5592"/>
    <w:rsid w:val="003F0803"/>
    <w:rsid w:val="003F2B47"/>
    <w:rsid w:val="003F32C5"/>
    <w:rsid w:val="003F40FE"/>
    <w:rsid w:val="00406E34"/>
    <w:rsid w:val="00412149"/>
    <w:rsid w:val="00427FD3"/>
    <w:rsid w:val="004339E9"/>
    <w:rsid w:val="00442AA9"/>
    <w:rsid w:val="00443702"/>
    <w:rsid w:val="00451630"/>
    <w:rsid w:val="00453F73"/>
    <w:rsid w:val="00463569"/>
    <w:rsid w:val="00467225"/>
    <w:rsid w:val="0047040F"/>
    <w:rsid w:val="0048294C"/>
    <w:rsid w:val="00482FCC"/>
    <w:rsid w:val="0048770C"/>
    <w:rsid w:val="004954E9"/>
    <w:rsid w:val="004956DB"/>
    <w:rsid w:val="004A0A06"/>
    <w:rsid w:val="004A193B"/>
    <w:rsid w:val="004A5A5D"/>
    <w:rsid w:val="004B754D"/>
    <w:rsid w:val="004C6799"/>
    <w:rsid w:val="004E2273"/>
    <w:rsid w:val="004E49E0"/>
    <w:rsid w:val="004F0E9F"/>
    <w:rsid w:val="004F651D"/>
    <w:rsid w:val="004F68EE"/>
    <w:rsid w:val="004F6EC0"/>
    <w:rsid w:val="004F7489"/>
    <w:rsid w:val="00500007"/>
    <w:rsid w:val="00501C21"/>
    <w:rsid w:val="005100F4"/>
    <w:rsid w:val="00515354"/>
    <w:rsid w:val="00520B9A"/>
    <w:rsid w:val="005217AF"/>
    <w:rsid w:val="00521AE9"/>
    <w:rsid w:val="005255C7"/>
    <w:rsid w:val="00532844"/>
    <w:rsid w:val="00532E8A"/>
    <w:rsid w:val="00537071"/>
    <w:rsid w:val="00543A03"/>
    <w:rsid w:val="00543C8A"/>
    <w:rsid w:val="0054538A"/>
    <w:rsid w:val="00561973"/>
    <w:rsid w:val="00570B09"/>
    <w:rsid w:val="00570E18"/>
    <w:rsid w:val="0057166F"/>
    <w:rsid w:val="00575CC3"/>
    <w:rsid w:val="00576724"/>
    <w:rsid w:val="00584D80"/>
    <w:rsid w:val="005964A5"/>
    <w:rsid w:val="00597448"/>
    <w:rsid w:val="005A030F"/>
    <w:rsid w:val="005B7202"/>
    <w:rsid w:val="005C0811"/>
    <w:rsid w:val="005C31BB"/>
    <w:rsid w:val="005C4A8E"/>
    <w:rsid w:val="005C51D8"/>
    <w:rsid w:val="005C6B48"/>
    <w:rsid w:val="005C72FD"/>
    <w:rsid w:val="005E148F"/>
    <w:rsid w:val="005E66AE"/>
    <w:rsid w:val="005F4FDA"/>
    <w:rsid w:val="005F5FA0"/>
    <w:rsid w:val="005F76EB"/>
    <w:rsid w:val="005F7D50"/>
    <w:rsid w:val="006016F1"/>
    <w:rsid w:val="0060774B"/>
    <w:rsid w:val="0061167E"/>
    <w:rsid w:val="00621789"/>
    <w:rsid w:val="0062233E"/>
    <w:rsid w:val="00626F5C"/>
    <w:rsid w:val="0063125F"/>
    <w:rsid w:val="00635F2B"/>
    <w:rsid w:val="006414B1"/>
    <w:rsid w:val="006425A2"/>
    <w:rsid w:val="006448BD"/>
    <w:rsid w:val="00652068"/>
    <w:rsid w:val="00653B4C"/>
    <w:rsid w:val="00660BAD"/>
    <w:rsid w:val="0066182F"/>
    <w:rsid w:val="00662B39"/>
    <w:rsid w:val="0066754C"/>
    <w:rsid w:val="00673389"/>
    <w:rsid w:val="006741F6"/>
    <w:rsid w:val="00674D11"/>
    <w:rsid w:val="0067587F"/>
    <w:rsid w:val="00681A00"/>
    <w:rsid w:val="00681D75"/>
    <w:rsid w:val="006820E8"/>
    <w:rsid w:val="00682B42"/>
    <w:rsid w:val="00685894"/>
    <w:rsid w:val="006A32D6"/>
    <w:rsid w:val="006A4127"/>
    <w:rsid w:val="006A4858"/>
    <w:rsid w:val="006A4963"/>
    <w:rsid w:val="006A4AE4"/>
    <w:rsid w:val="006B6333"/>
    <w:rsid w:val="006B7BB4"/>
    <w:rsid w:val="006C305E"/>
    <w:rsid w:val="006C76B8"/>
    <w:rsid w:val="006D3F59"/>
    <w:rsid w:val="006E21AD"/>
    <w:rsid w:val="006E2443"/>
    <w:rsid w:val="006E3B63"/>
    <w:rsid w:val="006F0E76"/>
    <w:rsid w:val="006F101A"/>
    <w:rsid w:val="00716D84"/>
    <w:rsid w:val="00735013"/>
    <w:rsid w:val="00737D86"/>
    <w:rsid w:val="00743583"/>
    <w:rsid w:val="007704D1"/>
    <w:rsid w:val="00773C9D"/>
    <w:rsid w:val="00773D05"/>
    <w:rsid w:val="007814B0"/>
    <w:rsid w:val="00782096"/>
    <w:rsid w:val="00783D0C"/>
    <w:rsid w:val="00785B1E"/>
    <w:rsid w:val="0079480C"/>
    <w:rsid w:val="00796FE4"/>
    <w:rsid w:val="007A6301"/>
    <w:rsid w:val="007A7392"/>
    <w:rsid w:val="007B2319"/>
    <w:rsid w:val="007B4878"/>
    <w:rsid w:val="007B63C5"/>
    <w:rsid w:val="007C62AE"/>
    <w:rsid w:val="007D4CF7"/>
    <w:rsid w:val="007D6ECF"/>
    <w:rsid w:val="007E2D16"/>
    <w:rsid w:val="007E68EF"/>
    <w:rsid w:val="00806770"/>
    <w:rsid w:val="00807F9C"/>
    <w:rsid w:val="008111F4"/>
    <w:rsid w:val="00811851"/>
    <w:rsid w:val="00811C29"/>
    <w:rsid w:val="00811CFD"/>
    <w:rsid w:val="00812880"/>
    <w:rsid w:val="0082651F"/>
    <w:rsid w:val="00830E16"/>
    <w:rsid w:val="00841648"/>
    <w:rsid w:val="0084416A"/>
    <w:rsid w:val="008467BF"/>
    <w:rsid w:val="008617E0"/>
    <w:rsid w:val="00862EC1"/>
    <w:rsid w:val="0086700C"/>
    <w:rsid w:val="00867B3E"/>
    <w:rsid w:val="00873676"/>
    <w:rsid w:val="00875BFF"/>
    <w:rsid w:val="008871DD"/>
    <w:rsid w:val="00892423"/>
    <w:rsid w:val="00893CE3"/>
    <w:rsid w:val="008A4A27"/>
    <w:rsid w:val="008B2106"/>
    <w:rsid w:val="008B345A"/>
    <w:rsid w:val="008B59BC"/>
    <w:rsid w:val="008B5CB6"/>
    <w:rsid w:val="008B7EAE"/>
    <w:rsid w:val="008C6CCF"/>
    <w:rsid w:val="008D12F6"/>
    <w:rsid w:val="008D19F4"/>
    <w:rsid w:val="008D1ECD"/>
    <w:rsid w:val="008D4DB9"/>
    <w:rsid w:val="008E36F8"/>
    <w:rsid w:val="008F3420"/>
    <w:rsid w:val="008F63DD"/>
    <w:rsid w:val="00903967"/>
    <w:rsid w:val="009070B5"/>
    <w:rsid w:val="00910B4C"/>
    <w:rsid w:val="00916014"/>
    <w:rsid w:val="00924755"/>
    <w:rsid w:val="009251F9"/>
    <w:rsid w:val="00930ACD"/>
    <w:rsid w:val="0093583B"/>
    <w:rsid w:val="00941203"/>
    <w:rsid w:val="009468DB"/>
    <w:rsid w:val="0095079A"/>
    <w:rsid w:val="00961631"/>
    <w:rsid w:val="00961782"/>
    <w:rsid w:val="00965A42"/>
    <w:rsid w:val="00971F14"/>
    <w:rsid w:val="009803D1"/>
    <w:rsid w:val="0098373C"/>
    <w:rsid w:val="00991321"/>
    <w:rsid w:val="00993E98"/>
    <w:rsid w:val="009A52FA"/>
    <w:rsid w:val="009C1B6F"/>
    <w:rsid w:val="009C3F49"/>
    <w:rsid w:val="009C7077"/>
    <w:rsid w:val="009D3521"/>
    <w:rsid w:val="009D46B3"/>
    <w:rsid w:val="009E1816"/>
    <w:rsid w:val="009E507B"/>
    <w:rsid w:val="00A00E42"/>
    <w:rsid w:val="00A04CD5"/>
    <w:rsid w:val="00A207A8"/>
    <w:rsid w:val="00A26C61"/>
    <w:rsid w:val="00A4523A"/>
    <w:rsid w:val="00A479ED"/>
    <w:rsid w:val="00A523C4"/>
    <w:rsid w:val="00A563AB"/>
    <w:rsid w:val="00A579C5"/>
    <w:rsid w:val="00A64D87"/>
    <w:rsid w:val="00A724D4"/>
    <w:rsid w:val="00A741DE"/>
    <w:rsid w:val="00A75DEF"/>
    <w:rsid w:val="00A856A0"/>
    <w:rsid w:val="00A87956"/>
    <w:rsid w:val="00A9648F"/>
    <w:rsid w:val="00AA6369"/>
    <w:rsid w:val="00AB065E"/>
    <w:rsid w:val="00AB193C"/>
    <w:rsid w:val="00AB409B"/>
    <w:rsid w:val="00AC32E7"/>
    <w:rsid w:val="00AC371F"/>
    <w:rsid w:val="00AC474C"/>
    <w:rsid w:val="00AC7C30"/>
    <w:rsid w:val="00AD1B3B"/>
    <w:rsid w:val="00AD4FF4"/>
    <w:rsid w:val="00AE3115"/>
    <w:rsid w:val="00AE41B5"/>
    <w:rsid w:val="00AF3223"/>
    <w:rsid w:val="00AF5EC8"/>
    <w:rsid w:val="00AF69A5"/>
    <w:rsid w:val="00B114F5"/>
    <w:rsid w:val="00B17A95"/>
    <w:rsid w:val="00B20EC4"/>
    <w:rsid w:val="00B270AE"/>
    <w:rsid w:val="00B4154E"/>
    <w:rsid w:val="00B433DA"/>
    <w:rsid w:val="00B46EAB"/>
    <w:rsid w:val="00B50D9B"/>
    <w:rsid w:val="00B5729C"/>
    <w:rsid w:val="00B65ACD"/>
    <w:rsid w:val="00B664EC"/>
    <w:rsid w:val="00B73227"/>
    <w:rsid w:val="00B73F96"/>
    <w:rsid w:val="00B80C06"/>
    <w:rsid w:val="00B80FFE"/>
    <w:rsid w:val="00B86B6C"/>
    <w:rsid w:val="00B91501"/>
    <w:rsid w:val="00B93FD5"/>
    <w:rsid w:val="00B94375"/>
    <w:rsid w:val="00BA08F0"/>
    <w:rsid w:val="00BB788B"/>
    <w:rsid w:val="00BC12FA"/>
    <w:rsid w:val="00BD137A"/>
    <w:rsid w:val="00BD3CC0"/>
    <w:rsid w:val="00BD4C32"/>
    <w:rsid w:val="00BD6F61"/>
    <w:rsid w:val="00BE2B5F"/>
    <w:rsid w:val="00BF175B"/>
    <w:rsid w:val="00BF4B06"/>
    <w:rsid w:val="00BF7D1A"/>
    <w:rsid w:val="00C00158"/>
    <w:rsid w:val="00C0343D"/>
    <w:rsid w:val="00C20EB9"/>
    <w:rsid w:val="00C31682"/>
    <w:rsid w:val="00C349FF"/>
    <w:rsid w:val="00C41129"/>
    <w:rsid w:val="00C60B59"/>
    <w:rsid w:val="00C72F01"/>
    <w:rsid w:val="00C736FE"/>
    <w:rsid w:val="00C73C74"/>
    <w:rsid w:val="00C74EAB"/>
    <w:rsid w:val="00C83BF7"/>
    <w:rsid w:val="00C86B19"/>
    <w:rsid w:val="00C9133F"/>
    <w:rsid w:val="00CA344C"/>
    <w:rsid w:val="00CA6989"/>
    <w:rsid w:val="00CB0DF2"/>
    <w:rsid w:val="00CC427A"/>
    <w:rsid w:val="00CD1DE7"/>
    <w:rsid w:val="00CD2A31"/>
    <w:rsid w:val="00CD5434"/>
    <w:rsid w:val="00CE3410"/>
    <w:rsid w:val="00CE7963"/>
    <w:rsid w:val="00D009D4"/>
    <w:rsid w:val="00D057A9"/>
    <w:rsid w:val="00D0698F"/>
    <w:rsid w:val="00D15DBC"/>
    <w:rsid w:val="00D202A4"/>
    <w:rsid w:val="00D20993"/>
    <w:rsid w:val="00D402B2"/>
    <w:rsid w:val="00D45D7B"/>
    <w:rsid w:val="00D46E53"/>
    <w:rsid w:val="00D66424"/>
    <w:rsid w:val="00D70918"/>
    <w:rsid w:val="00D71537"/>
    <w:rsid w:val="00D718AC"/>
    <w:rsid w:val="00D77CBA"/>
    <w:rsid w:val="00D85E72"/>
    <w:rsid w:val="00D9430C"/>
    <w:rsid w:val="00DB195A"/>
    <w:rsid w:val="00DB2A59"/>
    <w:rsid w:val="00DB4A35"/>
    <w:rsid w:val="00DC43A1"/>
    <w:rsid w:val="00DC5A2F"/>
    <w:rsid w:val="00DD442C"/>
    <w:rsid w:val="00DD446A"/>
    <w:rsid w:val="00DD6318"/>
    <w:rsid w:val="00DE584F"/>
    <w:rsid w:val="00DE7065"/>
    <w:rsid w:val="00DE7984"/>
    <w:rsid w:val="00DF6D7C"/>
    <w:rsid w:val="00E14171"/>
    <w:rsid w:val="00E20F90"/>
    <w:rsid w:val="00E30D4D"/>
    <w:rsid w:val="00E32400"/>
    <w:rsid w:val="00E366B4"/>
    <w:rsid w:val="00E37601"/>
    <w:rsid w:val="00E432C0"/>
    <w:rsid w:val="00E4571C"/>
    <w:rsid w:val="00E46F88"/>
    <w:rsid w:val="00E561EC"/>
    <w:rsid w:val="00E63D32"/>
    <w:rsid w:val="00E70234"/>
    <w:rsid w:val="00E7697C"/>
    <w:rsid w:val="00E80D63"/>
    <w:rsid w:val="00E90D98"/>
    <w:rsid w:val="00E91687"/>
    <w:rsid w:val="00EA02DA"/>
    <w:rsid w:val="00EA1A6F"/>
    <w:rsid w:val="00EA1DC8"/>
    <w:rsid w:val="00EA470E"/>
    <w:rsid w:val="00EA510E"/>
    <w:rsid w:val="00EA722E"/>
    <w:rsid w:val="00EA7712"/>
    <w:rsid w:val="00EA7CD4"/>
    <w:rsid w:val="00EB4113"/>
    <w:rsid w:val="00EB5C7A"/>
    <w:rsid w:val="00EC082C"/>
    <w:rsid w:val="00EC41D9"/>
    <w:rsid w:val="00ED73BD"/>
    <w:rsid w:val="00EE037F"/>
    <w:rsid w:val="00EE79AA"/>
    <w:rsid w:val="00EF0DA5"/>
    <w:rsid w:val="00EF2716"/>
    <w:rsid w:val="00F02D17"/>
    <w:rsid w:val="00F05B99"/>
    <w:rsid w:val="00F06D92"/>
    <w:rsid w:val="00F23FF8"/>
    <w:rsid w:val="00F25B44"/>
    <w:rsid w:val="00F26E5A"/>
    <w:rsid w:val="00F3040B"/>
    <w:rsid w:val="00F32583"/>
    <w:rsid w:val="00F34171"/>
    <w:rsid w:val="00F40086"/>
    <w:rsid w:val="00F403C2"/>
    <w:rsid w:val="00F416B1"/>
    <w:rsid w:val="00F44717"/>
    <w:rsid w:val="00F5368E"/>
    <w:rsid w:val="00F6084E"/>
    <w:rsid w:val="00F71E0F"/>
    <w:rsid w:val="00F77594"/>
    <w:rsid w:val="00F83248"/>
    <w:rsid w:val="00F86445"/>
    <w:rsid w:val="00F86C51"/>
    <w:rsid w:val="00F90231"/>
    <w:rsid w:val="00F945C6"/>
    <w:rsid w:val="00FA0024"/>
    <w:rsid w:val="00FA6FE8"/>
    <w:rsid w:val="00FD16FE"/>
    <w:rsid w:val="00FE5A0A"/>
    <w:rsid w:val="00FE728B"/>
    <w:rsid w:val="00FE7C7A"/>
    <w:rsid w:val="00FF587C"/>
    <w:rsid w:val="019798A3"/>
    <w:rsid w:val="03E5B6B5"/>
    <w:rsid w:val="055A7AD3"/>
    <w:rsid w:val="0761B89C"/>
    <w:rsid w:val="09344840"/>
    <w:rsid w:val="09ED6636"/>
    <w:rsid w:val="0C82C71C"/>
    <w:rsid w:val="0ED18F08"/>
    <w:rsid w:val="119CA64F"/>
    <w:rsid w:val="11CC5E48"/>
    <w:rsid w:val="173CC7F8"/>
    <w:rsid w:val="1A660827"/>
    <w:rsid w:val="1AE517BC"/>
    <w:rsid w:val="1DAFBD2E"/>
    <w:rsid w:val="1FFE7E48"/>
    <w:rsid w:val="2125625B"/>
    <w:rsid w:val="2227891B"/>
    <w:rsid w:val="2708C82E"/>
    <w:rsid w:val="276D4C82"/>
    <w:rsid w:val="2864A611"/>
    <w:rsid w:val="2A2E6C7C"/>
    <w:rsid w:val="2BD18084"/>
    <w:rsid w:val="2D7ADA3B"/>
    <w:rsid w:val="2DA66EBB"/>
    <w:rsid w:val="2DDEFFB0"/>
    <w:rsid w:val="35F0DE73"/>
    <w:rsid w:val="3CE83D72"/>
    <w:rsid w:val="40C1505C"/>
    <w:rsid w:val="41B5F916"/>
    <w:rsid w:val="440F5519"/>
    <w:rsid w:val="441841FC"/>
    <w:rsid w:val="4857BB66"/>
    <w:rsid w:val="4AD63559"/>
    <w:rsid w:val="4B979870"/>
    <w:rsid w:val="4DDC996C"/>
    <w:rsid w:val="4FB4B413"/>
    <w:rsid w:val="50358F39"/>
    <w:rsid w:val="544165B6"/>
    <w:rsid w:val="578AB547"/>
    <w:rsid w:val="5932755C"/>
    <w:rsid w:val="5A2CD68F"/>
    <w:rsid w:val="5BE7ABDA"/>
    <w:rsid w:val="5E8DA39F"/>
    <w:rsid w:val="5ED7C128"/>
    <w:rsid w:val="5EE42D16"/>
    <w:rsid w:val="5F224264"/>
    <w:rsid w:val="5FE41203"/>
    <w:rsid w:val="6117DDB2"/>
    <w:rsid w:val="63B4113F"/>
    <w:rsid w:val="63B80958"/>
    <w:rsid w:val="63D97BBC"/>
    <w:rsid w:val="660BBBCF"/>
    <w:rsid w:val="679EA5AF"/>
    <w:rsid w:val="699CDA7B"/>
    <w:rsid w:val="69EDB5CB"/>
    <w:rsid w:val="6B6DAA8E"/>
    <w:rsid w:val="6BC38192"/>
    <w:rsid w:val="6CFBDDF8"/>
    <w:rsid w:val="719D064A"/>
    <w:rsid w:val="71A78D6B"/>
    <w:rsid w:val="7506D7F3"/>
    <w:rsid w:val="771844FD"/>
    <w:rsid w:val="7C707F10"/>
    <w:rsid w:val="7CCA0C38"/>
    <w:rsid w:val="7FE2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8F42"/>
  <w15:docId w15:val="{B961065E-95D0-48E8-8EFD-BD3D31A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A0A"/>
    <w:rPr>
      <w:u w:val="single"/>
    </w:rPr>
  </w:style>
  <w:style w:type="paragraph" w:customStyle="1" w:styleId="Body">
    <w:name w:val="Body"/>
    <w:rsid w:val="00FE5A0A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FE5A0A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FE5A0A"/>
    <w:rPr>
      <w:u w:val="single"/>
    </w:rPr>
  </w:style>
  <w:style w:type="character" w:customStyle="1" w:styleId="Hyperlink1">
    <w:name w:val="Hyperlink.1"/>
    <w:basedOn w:val="Hyperlink0"/>
    <w:rsid w:val="00FE5A0A"/>
    <w:rPr>
      <w:b w:val="0"/>
      <w:bCs w:val="0"/>
      <w:color w:val="7F7F7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14B1"/>
    <w:rPr>
      <w:color w:val="FF00FF" w:themeColor="followedHyperlink"/>
      <w:u w:val="single"/>
    </w:rPr>
  </w:style>
  <w:style w:type="character" w:customStyle="1" w:styleId="normaltextrun">
    <w:name w:val="normaltextrun"/>
    <w:basedOn w:val="DefaultParagraphFont"/>
    <w:rsid w:val="00292073"/>
  </w:style>
  <w:style w:type="character" w:customStyle="1" w:styleId="eop">
    <w:name w:val="eop"/>
    <w:basedOn w:val="DefaultParagraphFont"/>
    <w:rsid w:val="00292073"/>
  </w:style>
  <w:style w:type="paragraph" w:styleId="ListParagraph">
    <w:name w:val="List Paragraph"/>
    <w:basedOn w:val="Normal"/>
    <w:uiPriority w:val="34"/>
    <w:qFormat/>
    <w:rsid w:val="00E20F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587F"/>
    <w:rPr>
      <w:color w:val="605E5C"/>
      <w:shd w:val="clear" w:color="auto" w:fill="E1DFDD"/>
    </w:rPr>
  </w:style>
  <w:style w:type="character" w:customStyle="1" w:styleId="lt-line-clampline">
    <w:name w:val="lt-line-clamp__line"/>
    <w:basedOn w:val="DefaultParagraphFont"/>
    <w:rsid w:val="0030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5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408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ga.berkeley.edu/initiative/east-africa-social-science-translation-collaborative/" TargetMode="External"/><Relationship Id="rId13" Type="http://schemas.openxmlformats.org/officeDocument/2006/relationships/hyperlink" Target="https://www.busaracenter.org/" TargetMode="External"/><Relationship Id="rId18" Type="http://schemas.openxmlformats.org/officeDocument/2006/relationships/hyperlink" Target="https://www.busaracenter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ieraglobal.org/" TargetMode="External"/><Relationship Id="rId17" Type="http://schemas.openxmlformats.org/officeDocument/2006/relationships/hyperlink" Target="https://www.usiu.ac.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hrc.org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ddharth-chatterje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verty-acti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g4.president.go.ke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ega.berkeley.edu/" TargetMode="External"/><Relationship Id="rId14" Type="http://schemas.openxmlformats.org/officeDocument/2006/relationships/hyperlink" Target="https://www.bitss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113C-E684-4412-AE62-6204B46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Hoeberling</dc:creator>
  <cp:keywords/>
  <dc:description/>
  <cp:lastModifiedBy>Chelsea Downs</cp:lastModifiedBy>
  <cp:revision>2</cp:revision>
  <cp:lastPrinted>2017-05-24T17:21:00Z</cp:lastPrinted>
  <dcterms:created xsi:type="dcterms:W3CDTF">2019-07-21T17:20:00Z</dcterms:created>
  <dcterms:modified xsi:type="dcterms:W3CDTF">2019-07-21T17:20:00Z</dcterms:modified>
</cp:coreProperties>
</file>